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670" w:val="left" w:leader="none"/>
          <w:tab w:pos="10196" w:val="left" w:leader="none"/>
        </w:tabs>
        <w:spacing w:before="85"/>
        <w:ind w:left="426"/>
      </w:pPr>
      <w:r>
        <w:rPr/>
        <w:pict>
          <v:rect style="position:absolute;margin-left:267.290009pt;margin-top:501.549988pt;width:13.8pt;height:13.8pt;mso-position-horizontal-relative:page;mso-position-vertical-relative:page;z-index:-43264" filled="false" stroked="true" strokeweight=".72pt" strokecolor="#000000">
            <v:stroke dashstyle="solid"/>
            <w10:wrap type="none"/>
          </v:rect>
        </w:pict>
      </w:r>
      <w:r>
        <w:rPr/>
        <w:pict>
          <v:rect style="position:absolute;margin-left:312.170013pt;margin-top:501.549988pt;width:13.8pt;height:13.8pt;mso-position-horizontal-relative:page;mso-position-vertical-relative:page;z-index:-43240" filled="false" stroked="true" strokeweight=".72pt" strokecolor="#000000">
            <v:stroke dashstyle="solid"/>
            <w10:wrap type="none"/>
          </v:rect>
        </w:pict>
      </w:r>
      <w:r>
        <w:rPr/>
        <w:pict>
          <v:rect style="position:absolute;margin-left:353.109985pt;margin-top:501.549988pt;width:13.8pt;height:13.8pt;mso-position-horizontal-relative:page;mso-position-vertical-relative:page;z-index:-43216" filled="false" stroked="true" strokeweight=".72pt" strokecolor="#000000">
            <v:stroke dashstyle="solid"/>
            <w10:wrap type="none"/>
          </v:rect>
        </w:pict>
      </w:r>
      <w:r>
        <w:rPr/>
        <w:t>APPLICATION TO USE LAND FOR FARMING ACTIVITY IN</w:t>
      </w:r>
      <w:r>
        <w:rPr>
          <w:spacing w:val="-18"/>
        </w:rPr>
        <w:t> </w:t>
      </w:r>
      <w:r>
        <w:rPr/>
        <w:t>ORANGE ZONE</w:t>
        <w:tab/>
        <w:t>PAGE 1</w:t>
      </w:r>
      <w:r>
        <w:rPr>
          <w:spacing w:val="-2"/>
        </w:rPr>
        <w:t> </w:t>
      </w:r>
      <w:r>
        <w:rPr/>
        <w:t>OF 15</w:t>
        <w:tab/>
        <w:t>March 2016</w:t>
      </w:r>
    </w:p>
    <w:p>
      <w:pPr>
        <w:pStyle w:val="BodyText"/>
        <w:spacing w:before="6"/>
        <w:rPr>
          <w:sz w:val="28"/>
        </w:rPr>
      </w:pPr>
    </w:p>
    <w:p>
      <w:pPr>
        <w:spacing w:before="94"/>
        <w:ind w:left="426" w:right="0" w:firstLine="0"/>
        <w:jc w:val="left"/>
        <w:rPr>
          <w:b/>
          <w:sz w:val="18"/>
        </w:rPr>
      </w:pPr>
      <w:r>
        <w:rPr/>
        <w:pict>
          <v:group style="position:absolute;margin-left:365.399994pt;margin-top:-7.278108pt;width:199.45pt;height:199.35pt;mso-position-horizontal-relative:page;mso-position-vertical-relative:paragraph;z-index:1168" coordorigin="7308,-146" coordsize="3989,3987">
            <v:shape style="position:absolute;left:8061;top:-19;width:2182;height:202" type="#_x0000_t75" stroked="false">
              <v:imagedata r:id="rId7" o:title=""/>
            </v:shape>
            <v:shape style="position:absolute;left:8096;top:-6;width:2145;height:148" type="#_x0000_t75" stroked="false">
              <v:imagedata r:id="rId8" o:title=""/>
            </v:shape>
            <v:shape style="position:absolute;left:7456;top:3137;width:2652;height:598" type="#_x0000_t75" stroked="false">
              <v:imagedata r:id="rId9" o:title=""/>
            </v:shape>
            <v:shape style="position:absolute;left:7471;top:3152;width:1302;height:165" type="#_x0000_t75" stroked="false">
              <v:imagedata r:id="rId10" o:title=""/>
            </v:shape>
            <v:shape style="position:absolute;left:7465;top:3510;width:1106;height:169" type="#_x0000_t75" stroked="false">
              <v:imagedata r:id="rId11" o:title=""/>
            </v:shape>
            <v:shape style="position:absolute;left:9592;top:3510;width:417;height:134" coordorigin="9592,3511" coordsize="417,134" path="m9667,3511l9642,3511,9632,3513,9622,3518,9613,3524,9605,3531,9600,3541,9595,3551,9592,3563,9592,3589,9595,3600,9599,3611,9604,3621,9610,3630,9619,3635,9628,3641,9639,3644,9667,3644,9678,3640,9692,3629,9644,3629,9637,3627,9630,3623,9623,3619,9618,3613,9612,3597,9610,3587,9610,3568,9611,3559,9614,3551,9617,3543,9622,3537,9628,3532,9635,3528,9643,3525,9693,3525,9687,3520,9678,3514,9667,3511xm9690,3596l9688,3607,9683,3615,9670,3626,9662,3629,9692,3629,9697,3625,9704,3615,9707,3601,9690,3596xm9693,3525l9662,3525,9669,3527,9675,3532,9681,3536,9685,3543,9688,3552,9705,3548,9702,3536,9695,3527,9693,3525xm9796,3513l9727,3513,9727,3642,9744,3642,9744,3584,9797,3584,9794,3583,9807,3581,9816,3577,9824,3570,9744,3570,9744,3527,9825,3527,9822,3523,9817,3519,9811,3516,9805,3514,9796,3513xm9797,3584l9769,3584,9772,3585,9777,3586,9779,3587,9784,3590,9787,3593,9794,3601,9798,3607,9803,3615,9820,3642,9842,3642,9819,3607,9815,3600,9810,3594,9802,3587,9799,3585,9797,3584xm9825,3527l9795,3527,9802,3529,9811,3537,9813,3542,9813,3552,9812,3556,9810,3559,9808,3563,9804,3566,9795,3569,9789,3570,9824,3570,9828,3565,9831,3557,9831,3541,9829,3534,9826,3528,9825,3527xm9928,3511l9904,3511,9893,3513,9884,3518,9874,3524,9867,3531,9862,3541,9856,3551,9854,3563,9854,3589,9856,3600,9861,3611,9865,3621,9872,3630,9881,3635,9890,3641,9901,3644,9929,3644,9940,3640,9954,3629,9906,3629,9898,3627,9891,3623,9885,3619,9880,3613,9873,3597,9872,3587,9872,3568,9873,3559,9876,3551,9878,3543,9883,3537,9890,3532,9897,3528,9905,3525,9955,3525,9948,3520,9939,3514,9928,3511xm9952,3596l9949,3607,9945,3615,9931,3626,9923,3629,9954,3629,9959,3625,9965,3615,9969,3601,9952,3596xm9955,3525l9924,3525,9931,3527,9937,3532,9942,3536,9947,3543,9950,3552,9967,3548,9963,3536,9957,3527,9955,3525xm10009,3548l9991,3548,9991,3566,10009,3566,10009,3548xm10009,3624l9991,3624,9991,3642,10009,3642,10009,3624xe" filled="true" fillcolor="#000000" stroked="false">
              <v:path arrowok="t"/>
              <v:fill type="solid"/>
            </v:shape>
            <v:rect style="position:absolute;left:7317;top:-136;width:3970;height:3968" filled="false" stroked="true" strokeweight=".96pt" strokecolor="#000000">
              <v:stroke dashstyle="solid"/>
            </v:rect>
            <w10:wrap type="none"/>
          </v:group>
        </w:pict>
      </w:r>
      <w:r>
        <w:rPr>
          <w:b/>
          <w:sz w:val="18"/>
        </w:rPr>
        <w:t>PLANNING ASSEMENT SHEET</w:t>
      </w:r>
    </w:p>
    <w:p>
      <w:pPr>
        <w:pStyle w:val="BodyText"/>
        <w:rPr>
          <w:b/>
          <w:sz w:val="21"/>
        </w:rPr>
      </w:pPr>
    </w:p>
    <w:p>
      <w:pPr>
        <w:spacing w:before="0"/>
        <w:ind w:left="426" w:right="5873" w:firstLine="0"/>
        <w:jc w:val="left"/>
        <w:rPr>
          <w:b/>
          <w:sz w:val="18"/>
        </w:rPr>
      </w:pPr>
      <w:r>
        <w:rPr>
          <w:b/>
          <w:sz w:val="18"/>
        </w:rPr>
        <w:t>PREPARED FOR FARMING ACTIVTIES WITHIN THE ORANGE NUTRIENT ALLOCATION ZONE UNDER THE CANTERBURY LAND &amp; WATER REGIONAL PLAN</w:t>
      </w:r>
    </w:p>
    <w:p>
      <w:pPr>
        <w:pStyle w:val="BodyText"/>
        <w:spacing w:before="2"/>
        <w:rPr>
          <w:b/>
          <w:sz w:val="18"/>
        </w:rPr>
      </w:pPr>
    </w:p>
    <w:p>
      <w:pPr>
        <w:spacing w:before="1"/>
        <w:ind w:left="426" w:right="4730" w:firstLine="0"/>
        <w:jc w:val="left"/>
        <w:rPr>
          <w:i/>
          <w:sz w:val="18"/>
        </w:rPr>
      </w:pPr>
      <w:r>
        <w:rPr>
          <w:i/>
          <w:sz w:val="18"/>
        </w:rPr>
        <w:t>The Resource Management Act requires resource consent applications to be </w:t>
      </w:r>
      <w:r>
        <w:rPr>
          <w:i/>
          <w:sz w:val="18"/>
        </w:rPr>
        <w:t>accompanied by an assessment against the relevant provisions of planning documents and Part 2 of the RMA. To assist you, a list of the relevant provisions is included in this Planning assessment sheet.</w:t>
      </w:r>
    </w:p>
    <w:p>
      <w:pPr>
        <w:pStyle w:val="BodyText"/>
        <w:spacing w:before="8"/>
        <w:rPr>
          <w:i/>
          <w:sz w:val="17"/>
        </w:rPr>
      </w:pPr>
    </w:p>
    <w:p>
      <w:pPr>
        <w:spacing w:before="0"/>
        <w:ind w:left="426" w:right="5012" w:firstLine="0"/>
        <w:jc w:val="left"/>
        <w:rPr>
          <w:b/>
          <w:sz w:val="18"/>
        </w:rPr>
      </w:pPr>
      <w:r>
        <w:rPr>
          <w:b/>
          <w:sz w:val="18"/>
        </w:rPr>
        <w:t>Please note that this planning assessment sheet has been designed for farming activities that can meet the criteria below:</w:t>
      </w:r>
    </w:p>
    <w:p>
      <w:pPr>
        <w:pStyle w:val="Heading3"/>
        <w:numPr>
          <w:ilvl w:val="0"/>
          <w:numId w:val="1"/>
        </w:numPr>
        <w:tabs>
          <w:tab w:pos="786" w:val="left" w:leader="none"/>
          <w:tab w:pos="787" w:val="left" w:leader="none"/>
        </w:tabs>
        <w:spacing w:line="240" w:lineRule="auto" w:before="4" w:after="0"/>
        <w:ind w:left="786" w:right="0" w:hanging="360"/>
        <w:jc w:val="left"/>
      </w:pPr>
      <w:r>
        <w:rPr/>
        <w:t>The property is located within the Orange Nutrient Allocation Zone;</w:t>
      </w:r>
      <w:r>
        <w:rPr>
          <w:spacing w:val="-1"/>
        </w:rPr>
        <w:t> </w:t>
      </w:r>
      <w:r>
        <w:rPr/>
        <w:t>and</w:t>
      </w:r>
    </w:p>
    <w:p>
      <w:pPr>
        <w:pStyle w:val="ListParagraph"/>
        <w:numPr>
          <w:ilvl w:val="0"/>
          <w:numId w:val="1"/>
        </w:numPr>
        <w:tabs>
          <w:tab w:pos="786" w:val="left" w:leader="none"/>
          <w:tab w:pos="787" w:val="left" w:leader="none"/>
        </w:tabs>
        <w:spacing w:line="220" w:lineRule="exact" w:before="0" w:after="0"/>
        <w:ind w:left="786" w:right="0" w:hanging="360"/>
        <w:jc w:val="left"/>
        <w:rPr>
          <w:sz w:val="18"/>
        </w:rPr>
      </w:pPr>
      <w:r>
        <w:rPr>
          <w:sz w:val="18"/>
        </w:rPr>
        <w:t>The nitrogen loss calculation for the part of the property in the</w:t>
      </w:r>
      <w:r>
        <w:rPr>
          <w:spacing w:val="-5"/>
          <w:sz w:val="18"/>
        </w:rPr>
        <w:t> </w:t>
      </w:r>
      <w:r>
        <w:rPr>
          <w:sz w:val="18"/>
        </w:rPr>
        <w:t>Orange</w:t>
      </w:r>
    </w:p>
    <w:p>
      <w:pPr>
        <w:spacing w:before="0"/>
        <w:ind w:left="786" w:right="4510" w:firstLine="0"/>
        <w:jc w:val="left"/>
        <w:rPr>
          <w:sz w:val="18"/>
        </w:rPr>
      </w:pPr>
      <w:r>
        <w:rPr>
          <w:sz w:val="18"/>
        </w:rPr>
        <w:t>Nutrient Allocation Zone does not increase bove the nitrogen baseline by more than 5kg per hectare per annum; and</w:t>
      </w:r>
    </w:p>
    <w:p>
      <w:pPr>
        <w:pStyle w:val="ListParagraph"/>
        <w:numPr>
          <w:ilvl w:val="0"/>
          <w:numId w:val="1"/>
        </w:numPr>
        <w:tabs>
          <w:tab w:pos="786" w:val="left" w:leader="none"/>
          <w:tab w:pos="787" w:val="left" w:leader="none"/>
        </w:tabs>
        <w:spacing w:line="240" w:lineRule="auto" w:before="0" w:after="0"/>
        <w:ind w:left="786" w:right="5622" w:hanging="360"/>
        <w:jc w:val="left"/>
        <w:rPr>
          <w:sz w:val="18"/>
        </w:rPr>
      </w:pPr>
      <w:r>
        <w:rPr>
          <w:sz w:val="18"/>
        </w:rPr>
        <w:t>A Farm Environment Plan has been prepared in accordance</w:t>
      </w:r>
      <w:r>
        <w:rPr>
          <w:spacing w:val="-29"/>
          <w:sz w:val="18"/>
        </w:rPr>
        <w:t> </w:t>
      </w:r>
      <w:r>
        <w:rPr>
          <w:sz w:val="18"/>
        </w:rPr>
        <w:t>with Schedule 7 Part</w:t>
      </w:r>
      <w:r>
        <w:rPr>
          <w:spacing w:val="-3"/>
          <w:sz w:val="18"/>
        </w:rPr>
        <w:t> </w:t>
      </w:r>
      <w:r>
        <w:rPr>
          <w:sz w:val="18"/>
        </w:rPr>
        <w:t>A.</w:t>
      </w:r>
    </w:p>
    <w:p>
      <w:pPr>
        <w:pStyle w:val="BodyText"/>
        <w:rPr>
          <w:sz w:val="20"/>
        </w:rPr>
      </w:pPr>
    </w:p>
    <w:p>
      <w:pPr>
        <w:pStyle w:val="BodyText"/>
        <w:spacing w:before="1"/>
        <w:rPr>
          <w:sz w:val="18"/>
        </w:rPr>
      </w:pPr>
    </w:p>
    <w:p>
      <w:pPr>
        <w:tabs>
          <w:tab w:pos="858" w:val="left" w:leader="none"/>
          <w:tab w:pos="11156" w:val="left" w:leader="none"/>
        </w:tabs>
        <w:spacing w:before="0"/>
        <w:ind w:left="308" w:right="0" w:firstLine="0"/>
        <w:jc w:val="left"/>
        <w:rPr>
          <w:b/>
          <w:sz w:val="20"/>
        </w:rPr>
      </w:pPr>
      <w:r>
        <w:rPr>
          <w:b/>
          <w:color w:val="FFFFFF"/>
          <w:w w:val="99"/>
          <w:sz w:val="20"/>
          <w:shd w:fill="000000" w:color="auto" w:val="clear"/>
        </w:rPr>
        <w:t> </w:t>
      </w:r>
      <w:r>
        <w:rPr>
          <w:b/>
          <w:color w:val="FFFFFF"/>
          <w:spacing w:val="6"/>
          <w:sz w:val="20"/>
          <w:shd w:fill="000000" w:color="auto" w:val="clear"/>
        </w:rPr>
        <w:t> </w:t>
      </w:r>
      <w:r>
        <w:rPr>
          <w:b/>
          <w:color w:val="FFFFFF"/>
          <w:sz w:val="20"/>
          <w:shd w:fill="000000" w:color="auto" w:val="clear"/>
        </w:rPr>
        <w:t>1</w:t>
        <w:tab/>
        <w:t>Legal and planning assessment - Resource Management Act</w:t>
      </w:r>
      <w:r>
        <w:rPr>
          <w:b/>
          <w:color w:val="FFFFFF"/>
          <w:spacing w:val="-16"/>
          <w:sz w:val="20"/>
          <w:shd w:fill="000000" w:color="auto" w:val="clear"/>
        </w:rPr>
        <w:t> </w:t>
      </w:r>
      <w:r>
        <w:rPr>
          <w:b/>
          <w:color w:val="FFFFFF"/>
          <w:sz w:val="20"/>
          <w:shd w:fill="000000" w:color="auto" w:val="clear"/>
        </w:rPr>
        <w:t>1991</w:t>
        <w:tab/>
      </w:r>
    </w:p>
    <w:p>
      <w:pPr>
        <w:pStyle w:val="BodyText"/>
        <w:spacing w:before="4"/>
        <w:rPr>
          <w:b/>
          <w:sz w:val="15"/>
        </w:rPr>
      </w:pPr>
    </w:p>
    <w:p>
      <w:pPr>
        <w:pStyle w:val="ListParagraph"/>
        <w:numPr>
          <w:ilvl w:val="1"/>
          <w:numId w:val="2"/>
        </w:numPr>
        <w:tabs>
          <w:tab w:pos="1002" w:val="left" w:leader="none"/>
          <w:tab w:pos="1003" w:val="left" w:leader="none"/>
        </w:tabs>
        <w:spacing w:line="240" w:lineRule="auto" w:before="93" w:after="0"/>
        <w:ind w:left="1002" w:right="0" w:hanging="576"/>
        <w:jc w:val="left"/>
        <w:rPr>
          <w:b/>
          <w:sz w:val="20"/>
        </w:rPr>
      </w:pPr>
      <w:r>
        <w:rPr/>
        <w:pict>
          <v:rect style="position:absolute;margin-left:267.290009pt;margin-top:59.269882pt;width:13.8pt;height:13.8pt;mso-position-horizontal-relative:page;mso-position-vertical-relative:paragraph;z-index:-43336" filled="false" stroked="true" strokeweight=".72pt" strokecolor="#000000">
            <v:stroke dashstyle="solid"/>
            <w10:wrap type="none"/>
          </v:rect>
        </w:pict>
      </w:r>
      <w:r>
        <w:rPr/>
        <w:pict>
          <v:rect style="position:absolute;margin-left:312.170013pt;margin-top:59.269882pt;width:13.8pt;height:13.8pt;mso-position-horizontal-relative:page;mso-position-vertical-relative:paragraph;z-index:-43312" filled="false" stroked="true" strokeweight=".72pt" strokecolor="#000000">
            <v:stroke dashstyle="solid"/>
            <w10:wrap type="none"/>
          </v:rect>
        </w:pict>
      </w:r>
      <w:r>
        <w:rPr/>
        <w:pict>
          <v:rect style="position:absolute;margin-left:353.109985pt;margin-top:59.269882pt;width:13.8pt;height:13.8pt;mso-position-horizontal-relative:page;mso-position-vertical-relative:paragraph;z-index:-43288" filled="false" stroked="true" strokeweight=".72pt" strokecolor="#000000">
            <v:stroke dashstyle="solid"/>
            <w10:wrap type="none"/>
          </v:rect>
        </w:pict>
      </w:r>
      <w:r>
        <w:rPr>
          <w:b/>
          <w:sz w:val="20"/>
        </w:rPr>
        <w:t>CANTERBURY LAND &amp; WATER REGIONAL PLAN: POLICIES &amp;</w:t>
      </w:r>
      <w:r>
        <w:rPr>
          <w:b/>
          <w:spacing w:val="-2"/>
          <w:sz w:val="20"/>
        </w:rPr>
        <w:t> </w:t>
      </w:r>
      <w:r>
        <w:rPr>
          <w:b/>
          <w:sz w:val="20"/>
        </w:rPr>
        <w:t>OBJECTIVES</w:t>
      </w:r>
    </w:p>
    <w:p>
      <w:pPr>
        <w:pStyle w:val="BodyText"/>
        <w:spacing w:before="4"/>
        <w:rPr>
          <w:b/>
          <w:sz w:val="21"/>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
        <w:gridCol w:w="3942"/>
        <w:gridCol w:w="2696"/>
        <w:gridCol w:w="3685"/>
      </w:tblGrid>
      <w:tr>
        <w:trPr>
          <w:trHeight w:val="453" w:hRule="atLeast"/>
        </w:trPr>
        <w:tc>
          <w:tcPr>
            <w:tcW w:w="4538" w:type="dxa"/>
            <w:gridSpan w:val="2"/>
          </w:tcPr>
          <w:p>
            <w:pPr>
              <w:pStyle w:val="TableParagraph"/>
              <w:spacing w:before="8"/>
              <w:ind w:left="107"/>
              <w:rPr>
                <w:b/>
                <w:sz w:val="18"/>
              </w:rPr>
            </w:pPr>
            <w:r>
              <w:rPr>
                <w:b/>
                <w:sz w:val="18"/>
              </w:rPr>
              <w:t>Operative Policies</w:t>
            </w:r>
          </w:p>
        </w:tc>
        <w:tc>
          <w:tcPr>
            <w:tcW w:w="2696" w:type="dxa"/>
          </w:tcPr>
          <w:p>
            <w:pPr>
              <w:pStyle w:val="TableParagraph"/>
              <w:spacing w:before="13"/>
              <w:ind w:left="106" w:right="569"/>
              <w:rPr>
                <w:b/>
                <w:sz w:val="18"/>
              </w:rPr>
            </w:pPr>
            <w:r>
              <w:rPr>
                <w:b/>
                <w:sz w:val="18"/>
              </w:rPr>
              <w:t>Will your proposal help achieve this?</w:t>
            </w:r>
          </w:p>
        </w:tc>
        <w:tc>
          <w:tcPr>
            <w:tcW w:w="3685" w:type="dxa"/>
          </w:tcPr>
          <w:p>
            <w:pPr>
              <w:pStyle w:val="TableParagraph"/>
              <w:spacing w:before="114"/>
              <w:ind w:left="106"/>
              <w:rPr>
                <w:b/>
                <w:sz w:val="18"/>
              </w:rPr>
            </w:pPr>
            <w:r>
              <w:rPr>
                <w:b/>
                <w:sz w:val="18"/>
              </w:rPr>
              <w:t>Explanation where relevant</w:t>
            </w:r>
          </w:p>
        </w:tc>
      </w:tr>
      <w:tr>
        <w:trPr>
          <w:trHeight w:val="2390" w:hRule="atLeast"/>
        </w:trPr>
        <w:tc>
          <w:tcPr>
            <w:tcW w:w="596" w:type="dxa"/>
          </w:tcPr>
          <w:p>
            <w:pPr>
              <w:pStyle w:val="TableParagraph"/>
              <w:spacing w:before="121"/>
              <w:ind w:left="89" w:right="105"/>
              <w:jc w:val="center"/>
              <w:rPr>
                <w:sz w:val="18"/>
              </w:rPr>
            </w:pPr>
            <w:r>
              <w:rPr>
                <w:sz w:val="18"/>
              </w:rPr>
              <w:t>4.34</w:t>
            </w:r>
          </w:p>
        </w:tc>
        <w:tc>
          <w:tcPr>
            <w:tcW w:w="3942" w:type="dxa"/>
          </w:tcPr>
          <w:p>
            <w:pPr>
              <w:pStyle w:val="TableParagraph"/>
              <w:spacing w:before="121"/>
              <w:ind w:left="109" w:right="181"/>
              <w:rPr>
                <w:sz w:val="18"/>
              </w:rPr>
            </w:pPr>
            <w:r>
              <w:rPr>
                <w:sz w:val="18"/>
              </w:rPr>
              <w:t>The loss nutrients from any farming activity to water is minimised by:</w:t>
            </w:r>
          </w:p>
          <w:p>
            <w:pPr>
              <w:pStyle w:val="TableParagraph"/>
              <w:numPr>
                <w:ilvl w:val="0"/>
                <w:numId w:val="3"/>
              </w:numPr>
              <w:tabs>
                <w:tab w:pos="470" w:val="left" w:leader="none"/>
              </w:tabs>
              <w:spacing w:line="240" w:lineRule="auto" w:before="18" w:after="0"/>
              <w:ind w:left="469" w:right="301" w:hanging="360"/>
              <w:jc w:val="left"/>
              <w:rPr>
                <w:sz w:val="18"/>
              </w:rPr>
            </w:pPr>
            <w:r>
              <w:rPr>
                <w:sz w:val="18"/>
              </w:rPr>
              <w:t>raising awareness of the nutrient</w:t>
            </w:r>
            <w:r>
              <w:rPr>
                <w:spacing w:val="-18"/>
                <w:sz w:val="18"/>
              </w:rPr>
              <w:t> </w:t>
            </w:r>
            <w:r>
              <w:rPr>
                <w:sz w:val="18"/>
              </w:rPr>
              <w:t>losses by requiring monitoring and record- keeping of modelled nutrient</w:t>
            </w:r>
            <w:r>
              <w:rPr>
                <w:spacing w:val="-7"/>
                <w:sz w:val="18"/>
              </w:rPr>
              <w:t> </w:t>
            </w:r>
            <w:r>
              <w:rPr>
                <w:sz w:val="18"/>
              </w:rPr>
              <w:t>loss;</w:t>
            </w:r>
          </w:p>
          <w:p>
            <w:pPr>
              <w:pStyle w:val="TableParagraph"/>
              <w:numPr>
                <w:ilvl w:val="0"/>
                <w:numId w:val="3"/>
              </w:numPr>
              <w:tabs>
                <w:tab w:pos="470" w:val="left" w:leader="none"/>
              </w:tabs>
              <w:spacing w:line="240" w:lineRule="auto" w:before="1" w:after="0"/>
              <w:ind w:left="469" w:right="121" w:hanging="360"/>
              <w:jc w:val="left"/>
              <w:rPr>
                <w:sz w:val="18"/>
              </w:rPr>
            </w:pPr>
            <w:r>
              <w:rPr>
                <w:sz w:val="18"/>
              </w:rPr>
              <w:t>farming activities that have nutrient</w:t>
            </w:r>
            <w:r>
              <w:rPr>
                <w:spacing w:val="-20"/>
                <w:sz w:val="18"/>
              </w:rPr>
              <w:t> </w:t>
            </w:r>
            <w:r>
              <w:rPr>
                <w:sz w:val="18"/>
              </w:rPr>
              <w:t>losses operating at good practice or better;</w:t>
            </w:r>
            <w:r>
              <w:rPr>
                <w:spacing w:val="-15"/>
                <w:sz w:val="18"/>
              </w:rPr>
              <w:t> </w:t>
            </w:r>
            <w:r>
              <w:rPr>
                <w:sz w:val="18"/>
              </w:rPr>
              <w:t>and</w:t>
            </w:r>
          </w:p>
          <w:p>
            <w:pPr>
              <w:pStyle w:val="TableParagraph"/>
              <w:numPr>
                <w:ilvl w:val="0"/>
                <w:numId w:val="3"/>
              </w:numPr>
              <w:tabs>
                <w:tab w:pos="470" w:val="left" w:leader="none"/>
              </w:tabs>
              <w:spacing w:line="240" w:lineRule="auto" w:before="1" w:after="0"/>
              <w:ind w:left="469" w:right="130" w:hanging="360"/>
              <w:jc w:val="left"/>
              <w:rPr>
                <w:sz w:val="18"/>
              </w:rPr>
            </w:pPr>
            <w:r>
              <w:rPr>
                <w:sz w:val="18"/>
              </w:rPr>
              <w:t>requiring the provision of information on modelled nutrient loss from farming activities to enable better decision</w:t>
            </w:r>
            <w:r>
              <w:rPr>
                <w:spacing w:val="-18"/>
                <w:sz w:val="18"/>
              </w:rPr>
              <w:t> </w:t>
            </w:r>
            <w:r>
              <w:rPr>
                <w:sz w:val="18"/>
              </w:rPr>
              <w:t>making</w:t>
            </w:r>
          </w:p>
        </w:tc>
        <w:tc>
          <w:tcPr>
            <w:tcW w:w="2696" w:type="dxa"/>
          </w:tcPr>
          <w:p>
            <w:pPr>
              <w:pStyle w:val="TableParagraph"/>
              <w:spacing w:before="5"/>
              <w:rPr>
                <w:b/>
                <w:sz w:val="18"/>
              </w:rPr>
            </w:pPr>
          </w:p>
          <w:p>
            <w:pPr>
              <w:pStyle w:val="TableParagraph"/>
              <w:tabs>
                <w:tab w:pos="897" w:val="left" w:leader="none"/>
                <w:tab w:pos="1728" w:val="left" w:leader="none"/>
              </w:tabs>
              <w:ind w:right="159"/>
              <w:jc w:val="right"/>
              <w:rPr>
                <w:sz w:val="18"/>
              </w:rPr>
            </w:pPr>
            <w:r>
              <w:rPr>
                <w:sz w:val="18"/>
              </w:rPr>
              <w:t>Yes</w:t>
              <w:tab/>
              <w:t>No</w:t>
              <w:tab/>
              <w:t>N/A</w:t>
            </w:r>
          </w:p>
        </w:tc>
        <w:tc>
          <w:tcPr>
            <w:tcW w:w="3685" w:type="dxa"/>
          </w:tcPr>
          <w:p>
            <w:pPr>
              <w:pStyle w:val="TableParagraph"/>
              <w:rPr>
                <w:rFonts w:ascii="Times New Roman"/>
                <w:sz w:val="18"/>
              </w:rPr>
            </w:pPr>
          </w:p>
        </w:tc>
      </w:tr>
      <w:tr>
        <w:trPr>
          <w:trHeight w:val="2793" w:hRule="atLeast"/>
        </w:trPr>
        <w:tc>
          <w:tcPr>
            <w:tcW w:w="596" w:type="dxa"/>
          </w:tcPr>
          <w:p>
            <w:pPr>
              <w:pStyle w:val="TableParagraph"/>
              <w:spacing w:before="121"/>
              <w:ind w:left="89" w:right="105"/>
              <w:jc w:val="center"/>
              <w:rPr>
                <w:sz w:val="18"/>
              </w:rPr>
            </w:pPr>
            <w:r>
              <w:rPr>
                <w:sz w:val="18"/>
              </w:rPr>
              <w:t>4.36</w:t>
            </w:r>
          </w:p>
        </w:tc>
        <w:tc>
          <w:tcPr>
            <w:tcW w:w="3942" w:type="dxa"/>
          </w:tcPr>
          <w:p>
            <w:pPr>
              <w:pStyle w:val="TableParagraph"/>
              <w:spacing w:before="121"/>
              <w:ind w:left="109" w:right="131"/>
              <w:rPr>
                <w:sz w:val="18"/>
              </w:rPr>
            </w:pPr>
            <w:r>
              <w:rPr>
                <w:sz w:val="18"/>
              </w:rPr>
              <w:t>Sustainable farming practices are promoted in all areas by:</w:t>
            </w:r>
          </w:p>
          <w:p>
            <w:pPr>
              <w:pStyle w:val="TableParagraph"/>
              <w:numPr>
                <w:ilvl w:val="0"/>
                <w:numId w:val="4"/>
              </w:numPr>
              <w:tabs>
                <w:tab w:pos="470" w:val="left" w:leader="none"/>
              </w:tabs>
              <w:spacing w:line="206" w:lineRule="exact" w:before="0" w:after="0"/>
              <w:ind w:left="469" w:right="0" w:hanging="360"/>
              <w:jc w:val="left"/>
              <w:rPr>
                <w:sz w:val="18"/>
              </w:rPr>
            </w:pPr>
            <w:r>
              <w:rPr>
                <w:w w:val="99"/>
                <w:sz w:val="18"/>
              </w:rPr>
              <w:t>…</w:t>
            </w:r>
            <w:r>
              <w:rPr>
                <w:sz w:val="18"/>
              </w:rPr>
            </w:r>
          </w:p>
          <w:p>
            <w:pPr>
              <w:pStyle w:val="TableParagraph"/>
              <w:numPr>
                <w:ilvl w:val="0"/>
                <w:numId w:val="4"/>
              </w:numPr>
              <w:tabs>
                <w:tab w:pos="470" w:val="left" w:leader="none"/>
              </w:tabs>
              <w:spacing w:line="240" w:lineRule="auto" w:before="0" w:after="0"/>
              <w:ind w:left="469" w:right="159" w:hanging="360"/>
              <w:jc w:val="left"/>
              <w:rPr>
                <w:sz w:val="18"/>
              </w:rPr>
            </w:pPr>
            <w:r>
              <w:rPr>
                <w:sz w:val="18"/>
              </w:rPr>
              <w:t>recognising that there may be limited increases in the loss of nutrients from farming activities in areas where regional water quality outcomes are at risk of not being met, that are shown by an Orange colouring on the Series A Planning Maps, provided that regional water quality outcomes will still be met;</w:t>
            </w:r>
            <w:r>
              <w:rPr>
                <w:spacing w:val="-4"/>
                <w:sz w:val="18"/>
              </w:rPr>
              <w:t> </w:t>
            </w:r>
            <w:r>
              <w:rPr>
                <w:sz w:val="18"/>
              </w:rPr>
              <w:t>and</w:t>
            </w:r>
          </w:p>
          <w:p>
            <w:pPr>
              <w:pStyle w:val="TableParagraph"/>
              <w:numPr>
                <w:ilvl w:val="0"/>
                <w:numId w:val="4"/>
              </w:numPr>
              <w:tabs>
                <w:tab w:pos="470" w:val="left" w:leader="none"/>
              </w:tabs>
              <w:spacing w:line="240" w:lineRule="auto" w:before="1" w:after="0"/>
              <w:ind w:left="469" w:right="0" w:hanging="360"/>
              <w:jc w:val="left"/>
              <w:rPr>
                <w:sz w:val="18"/>
              </w:rPr>
            </w:pPr>
            <w:r>
              <w:rPr>
                <w:sz w:val="18"/>
              </w:rPr>
              <w:t>….</w:t>
            </w:r>
          </w:p>
        </w:tc>
        <w:tc>
          <w:tcPr>
            <w:tcW w:w="2696" w:type="dxa"/>
          </w:tcPr>
          <w:p>
            <w:pPr>
              <w:pStyle w:val="TableParagraph"/>
              <w:spacing w:before="5"/>
              <w:rPr>
                <w:b/>
                <w:sz w:val="18"/>
              </w:rPr>
            </w:pPr>
          </w:p>
          <w:p>
            <w:pPr>
              <w:pStyle w:val="TableParagraph"/>
              <w:tabs>
                <w:tab w:pos="897" w:val="left" w:leader="none"/>
                <w:tab w:pos="1728" w:val="left" w:leader="none"/>
              </w:tabs>
              <w:ind w:right="159"/>
              <w:jc w:val="right"/>
              <w:rPr>
                <w:sz w:val="18"/>
              </w:rPr>
            </w:pPr>
            <w:r>
              <w:rPr>
                <w:sz w:val="18"/>
              </w:rPr>
              <w:t>Yes</w:t>
              <w:tab/>
              <w:t>No</w:t>
              <w:tab/>
              <w:t>N/A</w:t>
            </w:r>
          </w:p>
        </w:tc>
        <w:tc>
          <w:tcPr>
            <w:tcW w:w="3685" w:type="dxa"/>
          </w:tcPr>
          <w:p>
            <w:pPr>
              <w:pStyle w:val="TableParagraph"/>
              <w:rPr>
                <w:rFonts w:ascii="Times New Roman"/>
                <w:sz w:val="18"/>
              </w:rPr>
            </w:pPr>
          </w:p>
        </w:tc>
      </w:tr>
    </w:tbl>
    <w:p>
      <w:pPr>
        <w:spacing w:after="0"/>
        <w:rPr>
          <w:rFonts w:ascii="Times New Roman"/>
          <w:sz w:val="18"/>
        </w:rPr>
        <w:sectPr>
          <w:headerReference w:type="default" r:id="rId5"/>
          <w:footerReference w:type="default" r:id="rId6"/>
          <w:type w:val="continuous"/>
          <w:pgSz w:w="11910" w:h="16850"/>
          <w:pgMar w:header="0" w:footer="962" w:top="880" w:bottom="1160" w:left="140" w:right="200"/>
        </w:sectPr>
      </w:pPr>
    </w:p>
    <w:p>
      <w:pPr>
        <w:pStyle w:val="BodyText"/>
        <w:tabs>
          <w:tab w:pos="6670" w:val="left" w:leader="none"/>
          <w:tab w:pos="10203" w:val="left" w:leader="none"/>
        </w:tabs>
        <w:spacing w:before="85"/>
        <w:ind w:left="426"/>
      </w:pPr>
      <w:r>
        <w:rPr/>
        <w:pict>
          <v:rect style="position:absolute;margin-left:306.410004pt;margin-top:59.653934pt;width:13.8pt;height:13.8pt;mso-position-horizontal-relative:page;mso-position-vertical-relative:paragraph;z-index:-43168" filled="false" stroked="true" strokeweight=".72pt" strokecolor="#000000">
            <v:stroke dashstyle="solid"/>
            <w10:wrap type="none"/>
          </v:rect>
        </w:pict>
      </w:r>
      <w:r>
        <w:rPr/>
        <w:pict>
          <v:rect style="position:absolute;margin-left:351.309998pt;margin-top:59.653934pt;width:13.8pt;height:13.8pt;mso-position-horizontal-relative:page;mso-position-vertical-relative:paragraph;z-index:-43144" filled="false" stroked="true" strokeweight=".72pt" strokecolor="#000000">
            <v:stroke dashstyle="solid"/>
            <w10:wrap type="none"/>
          </v:rect>
        </w:pict>
      </w:r>
      <w:r>
        <w:rPr/>
        <w:pict>
          <v:rect style="position:absolute;margin-left:392.230011pt;margin-top:59.653934pt;width:13.8pt;height:13.8pt;mso-position-horizontal-relative:page;mso-position-vertical-relative:paragraph;z-index:-43120" filled="false" stroked="true" strokeweight=".72pt" strokecolor="#000000">
            <v:stroke dashstyle="solid"/>
            <w10:wrap type="none"/>
          </v:rect>
        </w:pict>
      </w:r>
      <w:r>
        <w:rPr/>
        <w:pict>
          <v:rect style="position:absolute;margin-left:306.410004pt;margin-top:147.253937pt;width:13.8pt;height:13.8pt;mso-position-horizontal-relative:page;mso-position-vertical-relative:paragraph;z-index:-43096" filled="false" stroked="true" strokeweight=".72pt" strokecolor="#000000">
            <v:stroke dashstyle="solid"/>
            <w10:wrap type="none"/>
          </v:rect>
        </w:pict>
      </w:r>
      <w:r>
        <w:rPr/>
        <w:pict>
          <v:rect style="position:absolute;margin-left:351.309998pt;margin-top:147.253937pt;width:13.8pt;height:13.8pt;mso-position-horizontal-relative:page;mso-position-vertical-relative:paragraph;z-index:-43072" filled="false" stroked="true" strokeweight=".72pt" strokecolor="#000000">
            <v:stroke dashstyle="solid"/>
            <w10:wrap type="none"/>
          </v:rect>
        </w:pict>
      </w:r>
      <w:r>
        <w:rPr/>
        <w:pict>
          <v:rect style="position:absolute;margin-left:392.230011pt;margin-top:147.253937pt;width:13.8pt;height:13.8pt;mso-position-horizontal-relative:page;mso-position-vertical-relative:paragraph;z-index:-43048" filled="false" stroked="true" strokeweight=".72pt" strokecolor="#000000">
            <v:stroke dashstyle="solid"/>
            <w10:wrap type="none"/>
          </v:rect>
        </w:pict>
      </w:r>
      <w:r>
        <w:rPr/>
        <w:pict>
          <v:rect style="position:absolute;margin-left:306.410004pt;margin-top:232.003937pt;width:13.8pt;height:13.8pt;mso-position-horizontal-relative:page;mso-position-vertical-relative:paragraph;z-index:-43024" filled="false" stroked="true" strokeweight=".72pt" strokecolor="#000000">
            <v:stroke dashstyle="solid"/>
            <w10:wrap type="none"/>
          </v:rect>
        </w:pict>
      </w:r>
      <w:r>
        <w:rPr/>
        <w:pict>
          <v:rect style="position:absolute;margin-left:351.309998pt;margin-top:232.003937pt;width:13.8pt;height:13.8pt;mso-position-horizontal-relative:page;mso-position-vertical-relative:paragraph;z-index:-43000" filled="false" stroked="true" strokeweight=".72pt" strokecolor="#000000">
            <v:stroke dashstyle="solid"/>
            <w10:wrap type="none"/>
          </v:rect>
        </w:pict>
      </w:r>
      <w:r>
        <w:rPr/>
        <w:pict>
          <v:rect style="position:absolute;margin-left:392.230011pt;margin-top:232.003937pt;width:13.8pt;height:13.8pt;mso-position-horizontal-relative:page;mso-position-vertical-relative:paragraph;z-index:-42976" filled="false" stroked="true" strokeweight=".72pt" strokecolor="#000000">
            <v:stroke dashstyle="solid"/>
            <w10:wrap type="none"/>
          </v:rect>
        </w:pict>
      </w:r>
      <w:r>
        <w:rPr/>
        <w:t>APPLICATION TO USE LAND FOR FARMING ACTIVITY IN</w:t>
      </w:r>
      <w:r>
        <w:rPr>
          <w:spacing w:val="-18"/>
        </w:rPr>
        <w:t> </w:t>
      </w:r>
      <w:r>
        <w:rPr/>
        <w:t>ORANGE ZONE</w:t>
        <w:tab/>
        <w:t>PAGE 2</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753"/>
        <w:gridCol w:w="1100"/>
        <w:gridCol w:w="825"/>
        <w:gridCol w:w="732"/>
        <w:gridCol w:w="2940"/>
      </w:tblGrid>
      <w:tr>
        <w:trPr>
          <w:trHeight w:val="455" w:hRule="atLeast"/>
        </w:trPr>
        <w:tc>
          <w:tcPr>
            <w:tcW w:w="5320" w:type="dxa"/>
            <w:gridSpan w:val="2"/>
          </w:tcPr>
          <w:p>
            <w:pPr>
              <w:pStyle w:val="TableParagraph"/>
              <w:rPr>
                <w:rFonts w:ascii="Times New Roman"/>
                <w:sz w:val="18"/>
              </w:rPr>
            </w:pPr>
          </w:p>
        </w:tc>
        <w:tc>
          <w:tcPr>
            <w:tcW w:w="2657" w:type="dxa"/>
            <w:gridSpan w:val="3"/>
          </w:tcPr>
          <w:p>
            <w:pPr>
              <w:pStyle w:val="TableParagraph"/>
              <w:spacing w:before="16"/>
              <w:ind w:left="107" w:right="529"/>
              <w:rPr>
                <w:b/>
                <w:sz w:val="18"/>
              </w:rPr>
            </w:pPr>
            <w:r>
              <w:rPr>
                <w:b/>
                <w:sz w:val="18"/>
              </w:rPr>
              <w:t>Will your proposal help achieve this?</w:t>
            </w:r>
          </w:p>
        </w:tc>
        <w:tc>
          <w:tcPr>
            <w:tcW w:w="2940" w:type="dxa"/>
          </w:tcPr>
          <w:p>
            <w:pPr>
              <w:pStyle w:val="TableParagraph"/>
              <w:spacing w:before="16"/>
              <w:ind w:left="107"/>
              <w:rPr>
                <w:b/>
                <w:sz w:val="18"/>
              </w:rPr>
            </w:pPr>
            <w:r>
              <w:rPr>
                <w:b/>
                <w:sz w:val="18"/>
              </w:rPr>
              <w:t>Explanation where relevant</w:t>
            </w:r>
          </w:p>
        </w:tc>
      </w:tr>
      <w:tr>
        <w:trPr>
          <w:trHeight w:val="1741" w:hRule="atLeast"/>
        </w:trPr>
        <w:tc>
          <w:tcPr>
            <w:tcW w:w="567" w:type="dxa"/>
            <w:tcBorders>
              <w:right w:val="single" w:sz="6" w:space="0" w:color="000000"/>
            </w:tcBorders>
          </w:tcPr>
          <w:p>
            <w:pPr>
              <w:pStyle w:val="TableParagraph"/>
              <w:spacing w:before="119"/>
              <w:ind w:left="88" w:right="75"/>
              <w:jc w:val="center"/>
              <w:rPr>
                <w:sz w:val="18"/>
              </w:rPr>
            </w:pPr>
            <w:r>
              <w:rPr>
                <w:sz w:val="18"/>
              </w:rPr>
              <w:t>4.37</w:t>
            </w:r>
          </w:p>
        </w:tc>
        <w:tc>
          <w:tcPr>
            <w:tcW w:w="4753" w:type="dxa"/>
            <w:tcBorders>
              <w:left w:val="single" w:sz="6" w:space="0" w:color="000000"/>
            </w:tcBorders>
          </w:tcPr>
          <w:p>
            <w:pPr>
              <w:pStyle w:val="TableParagraph"/>
              <w:spacing w:before="119"/>
              <w:ind w:left="107" w:right="140"/>
              <w:rPr>
                <w:sz w:val="18"/>
              </w:rPr>
            </w:pPr>
            <w:r>
              <w:rPr>
                <w:sz w:val="18"/>
              </w:rPr>
              <w:t>Prevent any increase in the loss of nutrients from farming activities in areas where regionwide water quality outcomes are not being met, that are shown by a Red colouring on the Series A Planning Maps and in Lake Zones as shown on the Series A Planning Maps.</w:t>
            </w:r>
          </w:p>
        </w:tc>
        <w:tc>
          <w:tcPr>
            <w:tcW w:w="1100" w:type="dxa"/>
            <w:tcBorders>
              <w:right w:val="nil"/>
            </w:tcBorders>
          </w:tcPr>
          <w:p>
            <w:pPr>
              <w:pStyle w:val="TableParagraph"/>
              <w:spacing w:before="3"/>
              <w:rPr>
                <w:sz w:val="18"/>
              </w:rPr>
            </w:pPr>
          </w:p>
          <w:p>
            <w:pPr>
              <w:pStyle w:val="TableParagraph"/>
              <w:ind w:right="288"/>
              <w:jc w:val="right"/>
              <w:rPr>
                <w:sz w:val="18"/>
              </w:rPr>
            </w:pPr>
            <w:r>
              <w:rPr>
                <w:w w:val="95"/>
                <w:sz w:val="18"/>
              </w:rPr>
              <w:t>Yes</w:t>
            </w:r>
          </w:p>
        </w:tc>
        <w:tc>
          <w:tcPr>
            <w:tcW w:w="825" w:type="dxa"/>
            <w:tcBorders>
              <w:left w:val="nil"/>
              <w:right w:val="nil"/>
            </w:tcBorders>
          </w:tcPr>
          <w:p>
            <w:pPr>
              <w:pStyle w:val="TableParagraph"/>
              <w:spacing w:before="3"/>
              <w:rPr>
                <w:sz w:val="18"/>
              </w:rPr>
            </w:pPr>
          </w:p>
          <w:p>
            <w:pPr>
              <w:pStyle w:val="TableParagraph"/>
              <w:ind w:left="298"/>
              <w:rPr>
                <w:sz w:val="18"/>
              </w:rPr>
            </w:pPr>
            <w:r>
              <w:rPr>
                <w:sz w:val="18"/>
              </w:rPr>
              <w:t>No</w:t>
            </w:r>
          </w:p>
        </w:tc>
        <w:tc>
          <w:tcPr>
            <w:tcW w:w="732" w:type="dxa"/>
            <w:tcBorders>
              <w:left w:val="nil"/>
            </w:tcBorders>
          </w:tcPr>
          <w:p>
            <w:pPr>
              <w:pStyle w:val="TableParagraph"/>
              <w:spacing w:before="3"/>
              <w:rPr>
                <w:sz w:val="18"/>
              </w:rPr>
            </w:pPr>
          </w:p>
          <w:p>
            <w:pPr>
              <w:pStyle w:val="TableParagraph"/>
              <w:ind w:right="120"/>
              <w:jc w:val="right"/>
              <w:rPr>
                <w:sz w:val="18"/>
              </w:rPr>
            </w:pPr>
            <w:r>
              <w:rPr>
                <w:sz w:val="18"/>
              </w:rPr>
              <w:t>N/A</w:t>
            </w:r>
          </w:p>
        </w:tc>
        <w:tc>
          <w:tcPr>
            <w:tcW w:w="2940" w:type="dxa"/>
          </w:tcPr>
          <w:p>
            <w:pPr>
              <w:pStyle w:val="TableParagraph"/>
              <w:rPr>
                <w:rFonts w:ascii="Times New Roman"/>
                <w:sz w:val="18"/>
              </w:rPr>
            </w:pPr>
          </w:p>
        </w:tc>
      </w:tr>
      <w:tr>
        <w:trPr>
          <w:trHeight w:val="1685" w:hRule="atLeast"/>
        </w:trPr>
        <w:tc>
          <w:tcPr>
            <w:tcW w:w="567" w:type="dxa"/>
            <w:tcBorders>
              <w:right w:val="single" w:sz="6" w:space="0" w:color="000000"/>
            </w:tcBorders>
          </w:tcPr>
          <w:p>
            <w:pPr>
              <w:pStyle w:val="TableParagraph"/>
              <w:spacing w:before="119"/>
              <w:ind w:left="87" w:right="75"/>
              <w:jc w:val="center"/>
              <w:rPr>
                <w:sz w:val="18"/>
              </w:rPr>
            </w:pPr>
            <w:r>
              <w:rPr>
                <w:sz w:val="18"/>
              </w:rPr>
              <w:t>4.38</w:t>
            </w:r>
          </w:p>
        </w:tc>
        <w:tc>
          <w:tcPr>
            <w:tcW w:w="4753" w:type="dxa"/>
            <w:tcBorders>
              <w:left w:val="single" w:sz="6" w:space="0" w:color="000000"/>
            </w:tcBorders>
          </w:tcPr>
          <w:p>
            <w:pPr>
              <w:pStyle w:val="TableParagraph"/>
              <w:spacing w:before="119"/>
              <w:ind w:left="107" w:right="241"/>
              <w:rPr>
                <w:sz w:val="18"/>
              </w:rPr>
            </w:pPr>
            <w:r>
              <w:rPr>
                <w:sz w:val="18"/>
              </w:rPr>
              <w:t>Require the adoption of the best practicable options to minimise the loss of nutrients from farming activities in areas where region-wide water quality outcomes are at risk of not being met, that are shown by an Orange colouring on the Series A Planning Maps.</w:t>
            </w:r>
          </w:p>
        </w:tc>
        <w:tc>
          <w:tcPr>
            <w:tcW w:w="1100" w:type="dxa"/>
            <w:tcBorders>
              <w:right w:val="nil"/>
            </w:tcBorders>
          </w:tcPr>
          <w:p>
            <w:pPr>
              <w:pStyle w:val="TableParagraph"/>
              <w:spacing w:before="3"/>
              <w:rPr>
                <w:sz w:val="18"/>
              </w:rPr>
            </w:pPr>
          </w:p>
          <w:p>
            <w:pPr>
              <w:pStyle w:val="TableParagraph"/>
              <w:ind w:right="288"/>
              <w:jc w:val="right"/>
              <w:rPr>
                <w:sz w:val="18"/>
              </w:rPr>
            </w:pPr>
            <w:r>
              <w:rPr>
                <w:w w:val="95"/>
                <w:sz w:val="18"/>
              </w:rPr>
              <w:t>Yes</w:t>
            </w:r>
          </w:p>
        </w:tc>
        <w:tc>
          <w:tcPr>
            <w:tcW w:w="825" w:type="dxa"/>
            <w:tcBorders>
              <w:left w:val="nil"/>
              <w:right w:val="nil"/>
            </w:tcBorders>
          </w:tcPr>
          <w:p>
            <w:pPr>
              <w:pStyle w:val="TableParagraph"/>
              <w:spacing w:before="3"/>
              <w:rPr>
                <w:sz w:val="18"/>
              </w:rPr>
            </w:pPr>
          </w:p>
          <w:p>
            <w:pPr>
              <w:pStyle w:val="TableParagraph"/>
              <w:ind w:left="298"/>
              <w:rPr>
                <w:sz w:val="18"/>
              </w:rPr>
            </w:pPr>
            <w:r>
              <w:rPr>
                <w:sz w:val="18"/>
              </w:rPr>
              <w:t>No</w:t>
            </w:r>
          </w:p>
        </w:tc>
        <w:tc>
          <w:tcPr>
            <w:tcW w:w="732" w:type="dxa"/>
            <w:tcBorders>
              <w:left w:val="nil"/>
            </w:tcBorders>
          </w:tcPr>
          <w:p>
            <w:pPr>
              <w:pStyle w:val="TableParagraph"/>
              <w:spacing w:before="3"/>
              <w:rPr>
                <w:sz w:val="18"/>
              </w:rPr>
            </w:pPr>
          </w:p>
          <w:p>
            <w:pPr>
              <w:pStyle w:val="TableParagraph"/>
              <w:ind w:right="120"/>
              <w:jc w:val="right"/>
              <w:rPr>
                <w:sz w:val="18"/>
              </w:rPr>
            </w:pPr>
            <w:r>
              <w:rPr>
                <w:sz w:val="18"/>
              </w:rPr>
              <w:t>N/A</w:t>
            </w:r>
          </w:p>
        </w:tc>
        <w:tc>
          <w:tcPr>
            <w:tcW w:w="2940" w:type="dxa"/>
          </w:tcPr>
          <w:p>
            <w:pPr>
              <w:pStyle w:val="TableParagraph"/>
              <w:rPr>
                <w:rFonts w:ascii="Times New Roman"/>
                <w:sz w:val="18"/>
              </w:rPr>
            </w:pPr>
          </w:p>
        </w:tc>
      </w:tr>
      <w:tr>
        <w:trPr>
          <w:trHeight w:val="1974" w:hRule="atLeast"/>
        </w:trPr>
        <w:tc>
          <w:tcPr>
            <w:tcW w:w="567" w:type="dxa"/>
            <w:tcBorders>
              <w:right w:val="single" w:sz="6" w:space="0" w:color="000000"/>
            </w:tcBorders>
          </w:tcPr>
          <w:p>
            <w:pPr>
              <w:pStyle w:val="TableParagraph"/>
              <w:spacing w:before="119"/>
              <w:ind w:left="87" w:right="75"/>
              <w:jc w:val="center"/>
              <w:rPr>
                <w:sz w:val="18"/>
              </w:rPr>
            </w:pPr>
            <w:r>
              <w:rPr>
                <w:sz w:val="18"/>
              </w:rPr>
              <w:t>4.40</w:t>
            </w:r>
          </w:p>
        </w:tc>
        <w:tc>
          <w:tcPr>
            <w:tcW w:w="4753" w:type="dxa"/>
            <w:tcBorders>
              <w:left w:val="single" w:sz="6" w:space="0" w:color="000000"/>
            </w:tcBorders>
          </w:tcPr>
          <w:p>
            <w:pPr>
              <w:pStyle w:val="TableParagraph"/>
              <w:spacing w:before="119"/>
              <w:ind w:left="107" w:right="121"/>
              <w:rPr>
                <w:sz w:val="18"/>
              </w:rPr>
            </w:pPr>
            <w:r>
              <w:rPr>
                <w:sz w:val="18"/>
              </w:rPr>
              <w:t>Farm Environment Plans are used as a primary means of identifying and delivering good environmental practice across a range of farm activities, including nutrient loss management, efficient and effective use of water for irrigation, riparian management, stock movements across waterways, offal and farm rubbish pits, the storage and application of effluent and fertiliser use.</w:t>
            </w:r>
          </w:p>
        </w:tc>
        <w:tc>
          <w:tcPr>
            <w:tcW w:w="1100" w:type="dxa"/>
            <w:tcBorders>
              <w:right w:val="nil"/>
            </w:tcBorders>
          </w:tcPr>
          <w:p>
            <w:pPr>
              <w:pStyle w:val="TableParagraph"/>
              <w:spacing w:before="3"/>
              <w:rPr>
                <w:sz w:val="18"/>
              </w:rPr>
            </w:pPr>
          </w:p>
          <w:p>
            <w:pPr>
              <w:pStyle w:val="TableParagraph"/>
              <w:ind w:right="288"/>
              <w:jc w:val="right"/>
              <w:rPr>
                <w:sz w:val="18"/>
              </w:rPr>
            </w:pPr>
            <w:r>
              <w:rPr>
                <w:w w:val="95"/>
                <w:sz w:val="18"/>
              </w:rPr>
              <w:t>Yes</w:t>
            </w:r>
          </w:p>
        </w:tc>
        <w:tc>
          <w:tcPr>
            <w:tcW w:w="825" w:type="dxa"/>
            <w:tcBorders>
              <w:left w:val="nil"/>
              <w:right w:val="nil"/>
            </w:tcBorders>
          </w:tcPr>
          <w:p>
            <w:pPr>
              <w:pStyle w:val="TableParagraph"/>
              <w:spacing w:before="3"/>
              <w:rPr>
                <w:sz w:val="18"/>
              </w:rPr>
            </w:pPr>
          </w:p>
          <w:p>
            <w:pPr>
              <w:pStyle w:val="TableParagraph"/>
              <w:ind w:left="298"/>
              <w:rPr>
                <w:sz w:val="18"/>
              </w:rPr>
            </w:pPr>
            <w:r>
              <w:rPr>
                <w:sz w:val="18"/>
              </w:rPr>
              <w:t>No</w:t>
            </w:r>
          </w:p>
        </w:tc>
        <w:tc>
          <w:tcPr>
            <w:tcW w:w="732" w:type="dxa"/>
            <w:tcBorders>
              <w:left w:val="nil"/>
            </w:tcBorders>
          </w:tcPr>
          <w:p>
            <w:pPr>
              <w:pStyle w:val="TableParagraph"/>
              <w:spacing w:before="3"/>
              <w:rPr>
                <w:sz w:val="18"/>
              </w:rPr>
            </w:pPr>
          </w:p>
          <w:p>
            <w:pPr>
              <w:pStyle w:val="TableParagraph"/>
              <w:ind w:right="120"/>
              <w:jc w:val="right"/>
              <w:rPr>
                <w:sz w:val="18"/>
              </w:rPr>
            </w:pPr>
            <w:r>
              <w:rPr>
                <w:sz w:val="18"/>
              </w:rPr>
              <w:t>N/A</w:t>
            </w:r>
          </w:p>
        </w:tc>
        <w:tc>
          <w:tcPr>
            <w:tcW w:w="2940" w:type="dxa"/>
          </w:tcPr>
          <w:p>
            <w:pPr>
              <w:pStyle w:val="TableParagraph"/>
              <w:rPr>
                <w:rFonts w:ascii="Times New Roman"/>
                <w:sz w:val="18"/>
              </w:rPr>
            </w:pPr>
          </w:p>
        </w:tc>
      </w:tr>
      <w:tr>
        <w:trPr>
          <w:trHeight w:val="3230" w:hRule="atLeast"/>
        </w:trPr>
        <w:tc>
          <w:tcPr>
            <w:tcW w:w="567" w:type="dxa"/>
            <w:tcBorders>
              <w:right w:val="single" w:sz="6" w:space="0" w:color="000000"/>
            </w:tcBorders>
          </w:tcPr>
          <w:p>
            <w:pPr>
              <w:pStyle w:val="TableParagraph"/>
              <w:spacing w:before="121"/>
              <w:ind w:left="87" w:right="75"/>
              <w:jc w:val="center"/>
              <w:rPr>
                <w:sz w:val="18"/>
              </w:rPr>
            </w:pPr>
            <w:r>
              <w:rPr>
                <w:sz w:val="18"/>
              </w:rPr>
              <w:t>4.41</w:t>
            </w:r>
          </w:p>
        </w:tc>
        <w:tc>
          <w:tcPr>
            <w:tcW w:w="4753" w:type="dxa"/>
            <w:tcBorders>
              <w:left w:val="single" w:sz="6" w:space="0" w:color="000000"/>
            </w:tcBorders>
          </w:tcPr>
          <w:p>
            <w:pPr>
              <w:pStyle w:val="TableParagraph"/>
              <w:spacing w:before="121"/>
              <w:ind w:left="107" w:right="211"/>
              <w:rPr>
                <w:sz w:val="18"/>
              </w:rPr>
            </w:pPr>
            <w:r>
              <w:rPr>
                <w:sz w:val="18"/>
              </w:rPr>
              <w:t>Applications for resource consents for farming activities will be accompanied by a Farm Environment Plan that has been prepared in accordance with Schedule 7 and the conditions of any resource consent granted will specify:</w:t>
            </w:r>
          </w:p>
          <w:p>
            <w:pPr>
              <w:pStyle w:val="TableParagraph"/>
              <w:numPr>
                <w:ilvl w:val="0"/>
                <w:numId w:val="5"/>
              </w:numPr>
              <w:tabs>
                <w:tab w:pos="468" w:val="left" w:leader="none"/>
              </w:tabs>
              <w:spacing w:line="240" w:lineRule="auto" w:before="120" w:after="0"/>
              <w:ind w:left="467" w:right="432" w:hanging="360"/>
              <w:jc w:val="left"/>
              <w:rPr>
                <w:sz w:val="18"/>
              </w:rPr>
            </w:pPr>
            <w:r>
              <w:rPr>
                <w:sz w:val="18"/>
              </w:rPr>
              <w:t>procedures and criteria for the timely review</w:t>
            </w:r>
            <w:r>
              <w:rPr>
                <w:spacing w:val="-22"/>
                <w:sz w:val="18"/>
              </w:rPr>
              <w:t> </w:t>
            </w:r>
            <w:r>
              <w:rPr>
                <w:sz w:val="18"/>
              </w:rPr>
              <w:t>and updating of the Farm Environment</w:t>
            </w:r>
            <w:r>
              <w:rPr>
                <w:spacing w:val="-6"/>
                <w:sz w:val="18"/>
              </w:rPr>
              <w:t> </w:t>
            </w:r>
            <w:r>
              <w:rPr>
                <w:sz w:val="18"/>
              </w:rPr>
              <w:t>Plan;</w:t>
            </w:r>
          </w:p>
          <w:p>
            <w:pPr>
              <w:pStyle w:val="TableParagraph"/>
              <w:numPr>
                <w:ilvl w:val="0"/>
                <w:numId w:val="5"/>
              </w:numPr>
              <w:tabs>
                <w:tab w:pos="468" w:val="left" w:leader="none"/>
              </w:tabs>
              <w:spacing w:line="240" w:lineRule="auto" w:before="0" w:after="0"/>
              <w:ind w:left="467" w:right="251" w:hanging="360"/>
              <w:jc w:val="left"/>
              <w:rPr>
                <w:sz w:val="18"/>
              </w:rPr>
            </w:pPr>
            <w:r>
              <w:rPr>
                <w:sz w:val="18"/>
              </w:rPr>
              <w:t>a requirement to meaningfully implement the</w:t>
            </w:r>
            <w:r>
              <w:rPr>
                <w:spacing w:val="-22"/>
                <w:sz w:val="18"/>
              </w:rPr>
              <w:t> </w:t>
            </w:r>
            <w:r>
              <w:rPr>
                <w:sz w:val="18"/>
              </w:rPr>
              <w:t>Farm Environment</w:t>
            </w:r>
            <w:r>
              <w:rPr>
                <w:spacing w:val="-1"/>
                <w:sz w:val="18"/>
              </w:rPr>
              <w:t> </w:t>
            </w:r>
            <w:r>
              <w:rPr>
                <w:sz w:val="18"/>
              </w:rPr>
              <w:t>Plan;</w:t>
            </w:r>
          </w:p>
          <w:p>
            <w:pPr>
              <w:pStyle w:val="TableParagraph"/>
              <w:numPr>
                <w:ilvl w:val="0"/>
                <w:numId w:val="5"/>
              </w:numPr>
              <w:tabs>
                <w:tab w:pos="468" w:val="left" w:leader="none"/>
              </w:tabs>
              <w:spacing w:line="207" w:lineRule="exact" w:before="0" w:after="0"/>
              <w:ind w:left="467" w:right="0" w:hanging="360"/>
              <w:jc w:val="left"/>
              <w:rPr>
                <w:sz w:val="18"/>
              </w:rPr>
            </w:pPr>
            <w:r>
              <w:rPr>
                <w:sz w:val="18"/>
              </w:rPr>
              <w:t>monitoring and information provision;</w:t>
            </w:r>
            <w:r>
              <w:rPr>
                <w:spacing w:val="-5"/>
                <w:sz w:val="18"/>
              </w:rPr>
              <w:t> </w:t>
            </w:r>
            <w:r>
              <w:rPr>
                <w:sz w:val="18"/>
              </w:rPr>
              <w:t>and</w:t>
            </w:r>
          </w:p>
          <w:p>
            <w:pPr>
              <w:pStyle w:val="TableParagraph"/>
              <w:numPr>
                <w:ilvl w:val="0"/>
                <w:numId w:val="5"/>
              </w:numPr>
              <w:tabs>
                <w:tab w:pos="468" w:val="left" w:leader="none"/>
              </w:tabs>
              <w:spacing w:line="240" w:lineRule="auto" w:before="0" w:after="0"/>
              <w:ind w:left="467" w:right="440" w:hanging="360"/>
              <w:jc w:val="left"/>
              <w:rPr>
                <w:sz w:val="18"/>
              </w:rPr>
            </w:pPr>
            <w:r>
              <w:rPr>
                <w:sz w:val="18"/>
              </w:rPr>
              <w:t>requirements for the independent auditing of</w:t>
            </w:r>
            <w:r>
              <w:rPr>
                <w:spacing w:val="-21"/>
                <w:sz w:val="18"/>
              </w:rPr>
              <w:t> </w:t>
            </w:r>
            <w:r>
              <w:rPr>
                <w:sz w:val="18"/>
              </w:rPr>
              <w:t>the Farm Environment Plan and the remedying of compliance issues raised in the</w:t>
            </w:r>
            <w:r>
              <w:rPr>
                <w:spacing w:val="-5"/>
                <w:sz w:val="18"/>
              </w:rPr>
              <w:t> </w:t>
            </w:r>
            <w:r>
              <w:rPr>
                <w:sz w:val="18"/>
              </w:rPr>
              <w:t>audit.</w:t>
            </w:r>
          </w:p>
        </w:tc>
        <w:tc>
          <w:tcPr>
            <w:tcW w:w="1100" w:type="dxa"/>
            <w:tcBorders>
              <w:right w:val="nil"/>
            </w:tcBorders>
          </w:tcPr>
          <w:p>
            <w:pPr>
              <w:pStyle w:val="TableParagraph"/>
              <w:spacing w:before="5"/>
              <w:rPr>
                <w:sz w:val="18"/>
              </w:rPr>
            </w:pPr>
          </w:p>
          <w:p>
            <w:pPr>
              <w:pStyle w:val="TableParagraph"/>
              <w:ind w:right="288"/>
              <w:jc w:val="right"/>
              <w:rPr>
                <w:sz w:val="18"/>
              </w:rPr>
            </w:pPr>
            <w:r>
              <w:rPr>
                <w:w w:val="95"/>
                <w:sz w:val="18"/>
              </w:rPr>
              <w:t>Yes</w:t>
            </w:r>
          </w:p>
        </w:tc>
        <w:tc>
          <w:tcPr>
            <w:tcW w:w="825" w:type="dxa"/>
            <w:tcBorders>
              <w:left w:val="nil"/>
              <w:right w:val="nil"/>
            </w:tcBorders>
          </w:tcPr>
          <w:p>
            <w:pPr>
              <w:pStyle w:val="TableParagraph"/>
              <w:spacing w:before="5"/>
              <w:rPr>
                <w:sz w:val="18"/>
              </w:rPr>
            </w:pPr>
          </w:p>
          <w:p>
            <w:pPr>
              <w:pStyle w:val="TableParagraph"/>
              <w:ind w:left="298"/>
              <w:rPr>
                <w:sz w:val="18"/>
              </w:rPr>
            </w:pPr>
            <w:r>
              <w:rPr>
                <w:sz w:val="18"/>
              </w:rPr>
              <w:t>No</w:t>
            </w:r>
          </w:p>
        </w:tc>
        <w:tc>
          <w:tcPr>
            <w:tcW w:w="732" w:type="dxa"/>
            <w:tcBorders>
              <w:left w:val="nil"/>
            </w:tcBorders>
          </w:tcPr>
          <w:p>
            <w:pPr>
              <w:pStyle w:val="TableParagraph"/>
              <w:spacing w:before="5"/>
              <w:rPr>
                <w:sz w:val="18"/>
              </w:rPr>
            </w:pPr>
          </w:p>
          <w:p>
            <w:pPr>
              <w:pStyle w:val="TableParagraph"/>
              <w:ind w:right="120"/>
              <w:jc w:val="right"/>
              <w:rPr>
                <w:sz w:val="18"/>
              </w:rPr>
            </w:pPr>
            <w:r>
              <w:rPr>
                <w:sz w:val="18"/>
              </w:rPr>
              <w:t>N/A</w:t>
            </w:r>
          </w:p>
        </w:tc>
        <w:tc>
          <w:tcPr>
            <w:tcW w:w="2940" w:type="dxa"/>
          </w:tcPr>
          <w:p>
            <w:pPr>
              <w:pStyle w:val="TableParagraph"/>
              <w:rPr>
                <w:rFonts w:ascii="Times New Roman"/>
                <w:sz w:val="18"/>
              </w:rPr>
            </w:pPr>
          </w:p>
        </w:tc>
      </w:tr>
    </w:tbl>
    <w:p>
      <w:pPr>
        <w:pStyle w:val="BodyText"/>
        <w:spacing w:before="10"/>
        <w:rPr>
          <w:sz w:val="17"/>
        </w:rPr>
      </w:pPr>
    </w:p>
    <w:p>
      <w:pPr>
        <w:pStyle w:val="Heading3"/>
      </w:pPr>
      <w:r>
        <w:rPr/>
        <w:pict>
          <v:rect style="position:absolute;margin-left:306.410004pt;margin-top:-165.098099pt;width:13.8pt;height:13.8pt;mso-position-horizontal-relative:page;mso-position-vertical-relative:paragraph;z-index:-42952" filled="false" stroked="true" strokeweight=".72pt" strokecolor="#000000">
            <v:stroke dashstyle="solid"/>
            <w10:wrap type="none"/>
          </v:rect>
        </w:pict>
      </w:r>
      <w:r>
        <w:rPr/>
        <w:pict>
          <v:rect style="position:absolute;margin-left:351.309998pt;margin-top:-165.098099pt;width:13.8pt;height:13.8pt;mso-position-horizontal-relative:page;mso-position-vertical-relative:paragraph;z-index:-42928" filled="false" stroked="true" strokeweight=".72pt" strokecolor="#000000">
            <v:stroke dashstyle="solid"/>
            <w10:wrap type="none"/>
          </v:rect>
        </w:pict>
      </w:r>
      <w:r>
        <w:rPr/>
        <w:pict>
          <v:rect style="position:absolute;margin-left:392.230011pt;margin-top:-165.098099pt;width:13.8pt;height:13.8pt;mso-position-horizontal-relative:page;mso-position-vertical-relative:paragraph;z-index:-42904" filled="false" stroked="true" strokeweight=".72pt" strokecolor="#000000">
            <v:stroke dashstyle="solid"/>
            <w10:wrap type="none"/>
          </v:rect>
        </w:pict>
      </w:r>
      <w:r>
        <w:rPr/>
        <w:pict>
          <v:rect style="position:absolute;margin-left:311.329987pt;margin-top:61.967899pt;width:13.8pt;height:13.824pt;mso-position-horizontal-relative:page;mso-position-vertical-relative:paragraph;z-index:-42880" filled="false" stroked="true" strokeweight=".72pt" strokecolor="#000000">
            <v:stroke dashstyle="solid"/>
            <w10:wrap type="none"/>
          </v:rect>
        </w:pict>
      </w:r>
      <w:r>
        <w:rPr/>
        <w:pict>
          <v:rect style="position:absolute;margin-left:356.230011pt;margin-top:61.967899pt;width:13.8pt;height:13.824pt;mso-position-horizontal-relative:page;mso-position-vertical-relative:paragraph;z-index:-42856" filled="false" stroked="true" strokeweight=".72pt" strokecolor="#000000">
            <v:stroke dashstyle="solid"/>
            <w10:wrap type="none"/>
          </v:rect>
        </w:pict>
      </w:r>
      <w:r>
        <w:rPr/>
        <w:pict>
          <v:rect style="position:absolute;margin-left:397.149994pt;margin-top:61.967899pt;width:13.8pt;height:13.824pt;mso-position-horizontal-relative:page;mso-position-vertical-relative:paragraph;z-index:-42832" filled="false" stroked="true" strokeweight=".72pt" strokecolor="#000000">
            <v:stroke dashstyle="solid"/>
            <w10:wrap type="none"/>
          </v:rect>
        </w:pict>
      </w:r>
      <w:r>
        <w:rPr/>
        <w:t>Note: The following policies were proposed by Plan Change 5 on 13 February 2016</w:t>
      </w:r>
    </w:p>
    <w:p>
      <w:pPr>
        <w:pStyle w:val="BodyText"/>
        <w:rPr>
          <w:sz w:val="20"/>
        </w:rPr>
      </w:pPr>
    </w:p>
    <w:p>
      <w:pPr>
        <w:pStyle w:val="BodyText"/>
        <w:spacing w:before="1"/>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678"/>
        <w:gridCol w:w="2835"/>
        <w:gridCol w:w="2552"/>
      </w:tblGrid>
      <w:tr>
        <w:trPr>
          <w:trHeight w:val="453" w:hRule="atLeast"/>
        </w:trPr>
        <w:tc>
          <w:tcPr>
            <w:tcW w:w="5418" w:type="dxa"/>
            <w:gridSpan w:val="2"/>
          </w:tcPr>
          <w:p>
            <w:pPr>
              <w:pStyle w:val="TableParagraph"/>
              <w:spacing w:before="8"/>
              <w:ind w:left="107"/>
              <w:rPr>
                <w:b/>
                <w:sz w:val="18"/>
              </w:rPr>
            </w:pPr>
            <w:r>
              <w:rPr>
                <w:b/>
                <w:sz w:val="18"/>
              </w:rPr>
              <w:t>Proposed Plan Change 5 Policies</w:t>
            </w:r>
          </w:p>
        </w:tc>
        <w:tc>
          <w:tcPr>
            <w:tcW w:w="2835" w:type="dxa"/>
          </w:tcPr>
          <w:p>
            <w:pPr>
              <w:pStyle w:val="TableParagraph"/>
              <w:spacing w:before="13"/>
              <w:ind w:left="107" w:right="707"/>
              <w:rPr>
                <w:b/>
                <w:sz w:val="18"/>
              </w:rPr>
            </w:pPr>
            <w:r>
              <w:rPr>
                <w:b/>
                <w:sz w:val="18"/>
              </w:rPr>
              <w:t>Will your proposal help achieve this?</w:t>
            </w:r>
          </w:p>
        </w:tc>
        <w:tc>
          <w:tcPr>
            <w:tcW w:w="2552" w:type="dxa"/>
          </w:tcPr>
          <w:p>
            <w:pPr>
              <w:pStyle w:val="TableParagraph"/>
              <w:spacing w:before="114"/>
              <w:ind w:left="107"/>
              <w:rPr>
                <w:b/>
                <w:sz w:val="18"/>
              </w:rPr>
            </w:pPr>
            <w:r>
              <w:rPr>
                <w:b/>
                <w:sz w:val="18"/>
              </w:rPr>
              <w:t>Explanation where relevant</w:t>
            </w:r>
          </w:p>
        </w:tc>
      </w:tr>
      <w:tr>
        <w:trPr>
          <w:trHeight w:val="2393" w:hRule="atLeast"/>
        </w:trPr>
        <w:tc>
          <w:tcPr>
            <w:tcW w:w="740" w:type="dxa"/>
          </w:tcPr>
          <w:p>
            <w:pPr>
              <w:pStyle w:val="TableParagraph"/>
              <w:spacing w:before="121"/>
              <w:ind w:left="107"/>
              <w:rPr>
                <w:sz w:val="18"/>
              </w:rPr>
            </w:pPr>
            <w:r>
              <w:rPr>
                <w:sz w:val="18"/>
              </w:rPr>
              <w:t>4.11</w:t>
            </w:r>
          </w:p>
        </w:tc>
        <w:tc>
          <w:tcPr>
            <w:tcW w:w="4678" w:type="dxa"/>
          </w:tcPr>
          <w:p>
            <w:pPr>
              <w:pStyle w:val="TableParagraph"/>
              <w:spacing w:before="1"/>
              <w:ind w:left="107" w:right="124"/>
              <w:rPr>
                <w:sz w:val="18"/>
              </w:rPr>
            </w:pPr>
            <w:r>
              <w:rPr>
                <w:sz w:val="18"/>
              </w:rPr>
              <w:t>The setting and attainment of catchment specific water quality and quantity outcomes and limits is enabled through limiting the duration of any resource consent granted under the region-wide rules in this Plan to a period not exceeding five years past the expected notification date (as set out in the Council's Progressive Implementation Programme) of any plan change that will introduce water quality or water quantity</w:t>
            </w:r>
          </w:p>
          <w:p>
            <w:pPr>
              <w:pStyle w:val="TableParagraph"/>
              <w:spacing w:before="1"/>
              <w:ind w:left="107"/>
              <w:rPr>
                <w:sz w:val="18"/>
              </w:rPr>
            </w:pPr>
            <w:r>
              <w:rPr>
                <w:sz w:val="18"/>
              </w:rPr>
              <w:t>provisions into Sections 6 – 15 of this Plan.</w:t>
            </w:r>
          </w:p>
        </w:tc>
        <w:tc>
          <w:tcPr>
            <w:tcW w:w="2835" w:type="dxa"/>
          </w:tcPr>
          <w:p>
            <w:pPr>
              <w:pStyle w:val="TableParagraph"/>
              <w:spacing w:before="5"/>
              <w:rPr>
                <w:sz w:val="18"/>
              </w:rPr>
            </w:pPr>
          </w:p>
          <w:p>
            <w:pPr>
              <w:pStyle w:val="TableParagraph"/>
              <w:tabs>
                <w:tab w:pos="1394" w:val="left" w:leader="none"/>
                <w:tab w:pos="2224" w:val="left" w:leader="none"/>
              </w:tabs>
              <w:ind w:left="496"/>
              <w:rPr>
                <w:sz w:val="18"/>
              </w:rPr>
            </w:pPr>
            <w:r>
              <w:rPr>
                <w:sz w:val="18"/>
              </w:rPr>
              <w:t>Yes</w:t>
              <w:tab/>
              <w:t>No</w:t>
              <w:tab/>
              <w:t>N/A</w:t>
            </w:r>
          </w:p>
        </w:tc>
        <w:tc>
          <w:tcPr>
            <w:tcW w:w="2552"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311.329987pt;margin-top:36.469936pt;width:13.8pt;height:13.824pt;mso-position-horizontal-relative:page;mso-position-vertical-relative:paragraph;z-index:-42808" filled="false" stroked="true" strokeweight=".72pt" strokecolor="#000000">
            <v:stroke dashstyle="solid"/>
            <w10:wrap type="none"/>
          </v:rect>
        </w:pict>
      </w:r>
      <w:r>
        <w:rPr/>
        <w:pict>
          <v:rect style="position:absolute;margin-left:356.230011pt;margin-top:36.469936pt;width:13.8pt;height:13.824pt;mso-position-horizontal-relative:page;mso-position-vertical-relative:paragraph;z-index:-42784" filled="false" stroked="true" strokeweight=".72pt" strokecolor="#000000">
            <v:stroke dashstyle="solid"/>
            <w10:wrap type="none"/>
          </v:rect>
        </w:pict>
      </w:r>
      <w:r>
        <w:rPr/>
        <w:pict>
          <v:rect style="position:absolute;margin-left:397.149994pt;margin-top:36.469936pt;width:13.8pt;height:13.824pt;mso-position-horizontal-relative:page;mso-position-vertical-relative:paragraph;z-index:-42760" filled="false" stroked="true" strokeweight=".72pt" strokecolor="#000000">
            <v:stroke dashstyle="solid"/>
            <w10:wrap type="none"/>
          </v:rect>
        </w:pict>
      </w:r>
      <w:r>
        <w:rPr/>
        <w:pict>
          <v:rect style="position:absolute;margin-left:311.329987pt;margin-top:201.499985pt;width:13.8pt;height:13.8pt;mso-position-horizontal-relative:page;mso-position-vertical-relative:page;z-index:-42736" filled="false" stroked="true" strokeweight=".72pt" strokecolor="#000000">
            <v:stroke dashstyle="solid"/>
            <w10:wrap type="none"/>
          </v:rect>
        </w:pict>
      </w:r>
      <w:r>
        <w:rPr/>
        <w:pict>
          <v:rect style="position:absolute;margin-left:356.230011pt;margin-top:201.499985pt;width:13.8pt;height:13.8pt;mso-position-horizontal-relative:page;mso-position-vertical-relative:page;z-index:-42712" filled="false" stroked="true" strokeweight=".72pt" strokecolor="#000000">
            <v:stroke dashstyle="solid"/>
            <w10:wrap type="none"/>
          </v:rect>
        </w:pict>
      </w:r>
      <w:r>
        <w:rPr/>
        <w:pict>
          <v:rect style="position:absolute;margin-left:397.149994pt;margin-top:201.499985pt;width:13.8pt;height:13.8pt;mso-position-horizontal-relative:page;mso-position-vertical-relative:page;z-index:-42688" filled="false" stroked="true" strokeweight=".72pt" strokecolor="#000000">
            <v:stroke dashstyle="solid"/>
            <w10:wrap type="none"/>
          </v:rect>
        </w:pict>
      </w:r>
      <w:r>
        <w:rPr/>
        <w:pict>
          <v:rect style="position:absolute;margin-left:311.329987pt;margin-top:416.569977pt;width:13.8pt;height:13.8pt;mso-position-horizontal-relative:page;mso-position-vertical-relative:page;z-index:-42664" filled="false" stroked="true" strokeweight=".72pt" strokecolor="#000000">
            <v:stroke dashstyle="solid"/>
            <w10:wrap type="none"/>
          </v:rect>
        </w:pict>
      </w:r>
      <w:r>
        <w:rPr/>
        <w:pict>
          <v:rect style="position:absolute;margin-left:356.230011pt;margin-top:416.569977pt;width:13.8pt;height:13.8pt;mso-position-horizontal-relative:page;mso-position-vertical-relative:page;z-index:-42640" filled="false" stroked="true" strokeweight=".72pt" strokecolor="#000000">
            <v:stroke dashstyle="solid"/>
            <w10:wrap type="none"/>
          </v:rect>
        </w:pict>
      </w:r>
      <w:r>
        <w:rPr/>
        <w:pict>
          <v:rect style="position:absolute;margin-left:397.149994pt;margin-top:416.569977pt;width:13.8pt;height:13.8pt;mso-position-horizontal-relative:page;mso-position-vertical-relative:page;z-index:-42616" filled="false" stroked="true" strokeweight=".72pt" strokecolor="#000000">
            <v:stroke dashstyle="solid"/>
            <w10:wrap type="none"/>
          </v:rect>
        </w:pict>
      </w:r>
      <w:r>
        <w:rPr/>
        <w:t>APPLICATION TO USE LAND FOR FARMING ACTIVITY IN</w:t>
      </w:r>
      <w:r>
        <w:rPr>
          <w:spacing w:val="-18"/>
        </w:rPr>
        <w:t> </w:t>
      </w:r>
      <w:r>
        <w:rPr/>
        <w:t>ORANGE ZONE</w:t>
        <w:tab/>
        <w:t>PAGE 3</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678"/>
        <w:gridCol w:w="2835"/>
        <w:gridCol w:w="2552"/>
      </w:tblGrid>
      <w:tr>
        <w:trPr>
          <w:trHeight w:val="2390" w:hRule="atLeast"/>
        </w:trPr>
        <w:tc>
          <w:tcPr>
            <w:tcW w:w="740" w:type="dxa"/>
          </w:tcPr>
          <w:p>
            <w:pPr>
              <w:pStyle w:val="TableParagraph"/>
              <w:spacing w:before="121"/>
              <w:ind w:left="107"/>
              <w:rPr>
                <w:sz w:val="18"/>
              </w:rPr>
            </w:pPr>
            <w:r>
              <w:rPr>
                <w:sz w:val="18"/>
              </w:rPr>
              <w:t>4.34</w:t>
            </w:r>
          </w:p>
        </w:tc>
        <w:tc>
          <w:tcPr>
            <w:tcW w:w="4678" w:type="dxa"/>
          </w:tcPr>
          <w:p>
            <w:pPr>
              <w:pStyle w:val="TableParagraph"/>
              <w:spacing w:before="121"/>
              <w:ind w:left="107" w:right="249"/>
              <w:rPr>
                <w:sz w:val="18"/>
              </w:rPr>
            </w:pPr>
            <w:r>
              <w:rPr>
                <w:sz w:val="18"/>
              </w:rPr>
              <w:t>The loss nutrients from any farming activity to water is minimised by:</w:t>
            </w:r>
          </w:p>
          <w:p>
            <w:pPr>
              <w:pStyle w:val="TableParagraph"/>
              <w:numPr>
                <w:ilvl w:val="0"/>
                <w:numId w:val="6"/>
              </w:numPr>
              <w:tabs>
                <w:tab w:pos="468" w:val="left" w:leader="none"/>
              </w:tabs>
              <w:spacing w:line="240" w:lineRule="auto" w:before="18" w:after="0"/>
              <w:ind w:left="467" w:right="797" w:hanging="360"/>
              <w:jc w:val="both"/>
              <w:rPr>
                <w:sz w:val="18"/>
              </w:rPr>
            </w:pPr>
            <w:r>
              <w:rPr>
                <w:sz w:val="18"/>
              </w:rPr>
              <w:t>raising awareness of the nutrient losses by requiring monitoring and record-keeping of modelled nutrient</w:t>
            </w:r>
            <w:r>
              <w:rPr>
                <w:spacing w:val="-1"/>
                <w:sz w:val="18"/>
              </w:rPr>
              <w:t> </w:t>
            </w:r>
            <w:r>
              <w:rPr>
                <w:sz w:val="18"/>
              </w:rPr>
              <w:t>loss;</w:t>
            </w:r>
          </w:p>
          <w:p>
            <w:pPr>
              <w:pStyle w:val="TableParagraph"/>
              <w:numPr>
                <w:ilvl w:val="0"/>
                <w:numId w:val="6"/>
              </w:numPr>
              <w:tabs>
                <w:tab w:pos="468" w:val="left" w:leader="none"/>
              </w:tabs>
              <w:spacing w:line="240" w:lineRule="auto" w:before="1" w:after="0"/>
              <w:ind w:left="467" w:right="860" w:hanging="360"/>
              <w:jc w:val="left"/>
              <w:rPr>
                <w:sz w:val="18"/>
              </w:rPr>
            </w:pPr>
            <w:r>
              <w:rPr>
                <w:sz w:val="18"/>
              </w:rPr>
              <w:t>farming activities that have nutrient</w:t>
            </w:r>
            <w:r>
              <w:rPr>
                <w:spacing w:val="-20"/>
                <w:sz w:val="18"/>
              </w:rPr>
              <w:t> </w:t>
            </w:r>
            <w:r>
              <w:rPr>
                <w:sz w:val="18"/>
              </w:rPr>
              <w:t>losses operating at good practice or better;</w:t>
            </w:r>
            <w:r>
              <w:rPr>
                <w:spacing w:val="-15"/>
                <w:sz w:val="18"/>
              </w:rPr>
              <w:t> </w:t>
            </w:r>
            <w:r>
              <w:rPr>
                <w:sz w:val="18"/>
              </w:rPr>
              <w:t>and</w:t>
            </w:r>
          </w:p>
          <w:p>
            <w:pPr>
              <w:pStyle w:val="TableParagraph"/>
              <w:numPr>
                <w:ilvl w:val="0"/>
                <w:numId w:val="6"/>
              </w:numPr>
              <w:tabs>
                <w:tab w:pos="468" w:val="left" w:leader="none"/>
              </w:tabs>
              <w:spacing w:line="240" w:lineRule="auto" w:before="1" w:after="0"/>
              <w:ind w:left="467" w:right="389" w:hanging="360"/>
              <w:jc w:val="left"/>
              <w:rPr>
                <w:sz w:val="18"/>
              </w:rPr>
            </w:pPr>
            <w:r>
              <w:rPr>
                <w:sz w:val="18"/>
              </w:rPr>
              <w:t>requiring the provision of information on</w:t>
            </w:r>
            <w:r>
              <w:rPr>
                <w:spacing w:val="-23"/>
                <w:sz w:val="18"/>
              </w:rPr>
              <w:t> </w:t>
            </w:r>
            <w:r>
              <w:rPr>
                <w:sz w:val="18"/>
              </w:rPr>
              <w:t>nutrient loss from farming activities to enable better decision</w:t>
            </w:r>
            <w:r>
              <w:rPr>
                <w:spacing w:val="-1"/>
                <w:sz w:val="18"/>
              </w:rPr>
              <w:t> </w:t>
            </w:r>
            <w:r>
              <w:rPr>
                <w:sz w:val="18"/>
              </w:rPr>
              <w:t>making</w:t>
            </w:r>
          </w:p>
        </w:tc>
        <w:tc>
          <w:tcPr>
            <w:tcW w:w="2835" w:type="dxa"/>
          </w:tcPr>
          <w:p>
            <w:pPr>
              <w:pStyle w:val="TableParagraph"/>
              <w:spacing w:before="5"/>
              <w:rPr>
                <w:sz w:val="18"/>
              </w:rPr>
            </w:pPr>
          </w:p>
          <w:p>
            <w:pPr>
              <w:pStyle w:val="TableParagraph"/>
              <w:tabs>
                <w:tab w:pos="897" w:val="left" w:leader="none"/>
                <w:tab w:pos="1727" w:val="left" w:leader="none"/>
              </w:tabs>
              <w:spacing w:before="1"/>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4293" w:hRule="atLeast"/>
        </w:trPr>
        <w:tc>
          <w:tcPr>
            <w:tcW w:w="740" w:type="dxa"/>
          </w:tcPr>
          <w:p>
            <w:pPr>
              <w:pStyle w:val="TableParagraph"/>
              <w:spacing w:before="121"/>
              <w:ind w:left="107"/>
              <w:rPr>
                <w:sz w:val="18"/>
              </w:rPr>
            </w:pPr>
            <w:r>
              <w:rPr>
                <w:sz w:val="18"/>
              </w:rPr>
              <w:t>4.36</w:t>
            </w:r>
          </w:p>
        </w:tc>
        <w:tc>
          <w:tcPr>
            <w:tcW w:w="4678" w:type="dxa"/>
          </w:tcPr>
          <w:p>
            <w:pPr>
              <w:pStyle w:val="TableParagraph"/>
              <w:spacing w:before="121"/>
              <w:ind w:left="107"/>
              <w:rPr>
                <w:sz w:val="18"/>
              </w:rPr>
            </w:pPr>
            <w:r>
              <w:rPr>
                <w:sz w:val="18"/>
              </w:rPr>
              <w:t>Water quality outcomes are met by:</w:t>
            </w:r>
          </w:p>
          <w:p>
            <w:pPr>
              <w:pStyle w:val="TableParagraph"/>
              <w:numPr>
                <w:ilvl w:val="0"/>
                <w:numId w:val="7"/>
              </w:numPr>
              <w:tabs>
                <w:tab w:pos="379" w:val="left" w:leader="none"/>
              </w:tabs>
              <w:spacing w:line="240" w:lineRule="auto" w:before="119" w:after="0"/>
              <w:ind w:left="424" w:right="609" w:hanging="317"/>
              <w:jc w:val="left"/>
              <w:rPr>
                <w:sz w:val="18"/>
              </w:rPr>
            </w:pPr>
            <w:r>
              <w:rPr>
                <w:sz w:val="18"/>
              </w:rPr>
              <w:t>all farming activities minimising nutrient</w:t>
            </w:r>
            <w:r>
              <w:rPr>
                <w:spacing w:val="-21"/>
                <w:sz w:val="18"/>
              </w:rPr>
              <w:t> </w:t>
            </w:r>
            <w:r>
              <w:rPr>
                <w:sz w:val="18"/>
              </w:rPr>
              <w:t>losses through the implementation of good</w:t>
            </w:r>
            <w:r>
              <w:rPr>
                <w:spacing w:val="-16"/>
                <w:sz w:val="18"/>
              </w:rPr>
              <w:t> </w:t>
            </w:r>
            <w:r>
              <w:rPr>
                <w:sz w:val="18"/>
              </w:rPr>
              <w:t>practice;</w:t>
            </w:r>
          </w:p>
          <w:p>
            <w:pPr>
              <w:pStyle w:val="TableParagraph"/>
              <w:numPr>
                <w:ilvl w:val="0"/>
                <w:numId w:val="7"/>
              </w:numPr>
              <w:tabs>
                <w:tab w:pos="412" w:val="left" w:leader="none"/>
              </w:tabs>
              <w:spacing w:line="240" w:lineRule="auto" w:before="119" w:after="0"/>
              <w:ind w:left="424" w:right="123" w:hanging="283"/>
              <w:jc w:val="left"/>
              <w:rPr>
                <w:sz w:val="18"/>
              </w:rPr>
            </w:pPr>
            <w:r>
              <w:rPr>
                <w:sz w:val="18"/>
              </w:rPr>
              <w:t>all permitted farming activities on properties greater than 10 hectares preparing and implementing a Management Plan in accordance with Schedule</w:t>
            </w:r>
            <w:r>
              <w:rPr>
                <w:spacing w:val="-23"/>
                <w:sz w:val="18"/>
              </w:rPr>
              <w:t> </w:t>
            </w:r>
            <w:r>
              <w:rPr>
                <w:sz w:val="18"/>
              </w:rPr>
              <w:t>7A;</w:t>
            </w:r>
          </w:p>
          <w:p>
            <w:pPr>
              <w:pStyle w:val="TableParagraph"/>
              <w:spacing w:before="2"/>
              <w:ind w:left="424" w:right="221" w:hanging="284"/>
              <w:rPr>
                <w:sz w:val="18"/>
              </w:rPr>
            </w:pPr>
            <w:r>
              <w:rPr>
                <w:sz w:val="18"/>
              </w:rPr>
              <w:t>(bb) farming activities with the potential for more significant nutrient losses, managing their nitrogen loss in accordance with the Good management Practice Loss Rates and being subject to a resource consent process; and</w:t>
            </w:r>
          </w:p>
          <w:p>
            <w:pPr>
              <w:pStyle w:val="TableParagraph"/>
              <w:numPr>
                <w:ilvl w:val="0"/>
                <w:numId w:val="7"/>
              </w:numPr>
              <w:tabs>
                <w:tab w:pos="454" w:val="left" w:leader="none"/>
              </w:tabs>
              <w:spacing w:line="240" w:lineRule="auto" w:before="0" w:after="0"/>
              <w:ind w:left="424" w:right="142" w:hanging="283"/>
              <w:jc w:val="left"/>
              <w:rPr>
                <w:sz w:val="18"/>
              </w:rPr>
            </w:pPr>
            <w:r>
              <w:rPr>
                <w:sz w:val="18"/>
              </w:rPr>
              <w:t>encouraging industry and irrigation scheme-based initiatives to improve land and water use practices for farming activities, reduce nutrient loss and nutrient discharges, and facilitate land use consenting, including irrigation scheme-wide initiatives, reporting and auditing of their</w:t>
            </w:r>
            <w:r>
              <w:rPr>
                <w:spacing w:val="-24"/>
                <w:sz w:val="18"/>
              </w:rPr>
              <w:t> </w:t>
            </w:r>
            <w:r>
              <w:rPr>
                <w:sz w:val="18"/>
              </w:rPr>
              <w:t>constituent farms.</w:t>
            </w:r>
          </w:p>
        </w:tc>
        <w:tc>
          <w:tcPr>
            <w:tcW w:w="2835" w:type="dxa"/>
          </w:tcPr>
          <w:p>
            <w:pPr>
              <w:pStyle w:val="TableParagraph"/>
              <w:spacing w:before="5"/>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6211" w:hRule="atLeast"/>
        </w:trPr>
        <w:tc>
          <w:tcPr>
            <w:tcW w:w="740" w:type="dxa"/>
          </w:tcPr>
          <w:p>
            <w:pPr>
              <w:pStyle w:val="TableParagraph"/>
              <w:spacing w:before="119"/>
              <w:ind w:left="107"/>
              <w:rPr>
                <w:sz w:val="18"/>
              </w:rPr>
            </w:pPr>
            <w:r>
              <w:rPr>
                <w:sz w:val="18"/>
              </w:rPr>
              <w:t>4.37</w:t>
            </w:r>
          </w:p>
        </w:tc>
        <w:tc>
          <w:tcPr>
            <w:tcW w:w="4678" w:type="dxa"/>
          </w:tcPr>
          <w:p>
            <w:pPr>
              <w:pStyle w:val="TableParagraph"/>
              <w:rPr>
                <w:sz w:val="18"/>
              </w:rPr>
            </w:pPr>
          </w:p>
          <w:p>
            <w:pPr>
              <w:pStyle w:val="TableParagraph"/>
              <w:ind w:left="107" w:right="389"/>
              <w:rPr>
                <w:sz w:val="18"/>
              </w:rPr>
            </w:pPr>
            <w:r>
              <w:rPr>
                <w:sz w:val="18"/>
              </w:rPr>
              <w:t>Freshwater quality is improved within the Lake Zone and Red Nutrient Allocation Zone by:</w:t>
            </w:r>
          </w:p>
          <w:p>
            <w:pPr>
              <w:pStyle w:val="TableParagraph"/>
              <w:numPr>
                <w:ilvl w:val="0"/>
                <w:numId w:val="8"/>
              </w:numPr>
              <w:tabs>
                <w:tab w:pos="430" w:val="left" w:leader="none"/>
              </w:tabs>
              <w:spacing w:line="240" w:lineRule="auto" w:before="0" w:after="0"/>
              <w:ind w:left="453" w:right="133" w:hanging="346"/>
              <w:jc w:val="left"/>
              <w:rPr>
                <w:sz w:val="18"/>
              </w:rPr>
            </w:pPr>
            <w:r>
              <w:rPr>
                <w:sz w:val="18"/>
              </w:rPr>
              <w:t>avoiding the granting of any resource consent that will allow the nitrogen losses from a farming</w:t>
            </w:r>
            <w:r>
              <w:rPr>
                <w:spacing w:val="-25"/>
                <w:sz w:val="18"/>
              </w:rPr>
              <w:t> </w:t>
            </w:r>
            <w:r>
              <w:rPr>
                <w:sz w:val="18"/>
              </w:rPr>
              <w:t>activity to exceed the Baseline GMP Loss Rate, except where Policy 4.38A applies;</w:t>
            </w:r>
            <w:r>
              <w:rPr>
                <w:spacing w:val="-4"/>
                <w:sz w:val="18"/>
              </w:rPr>
              <w:t> </w:t>
            </w:r>
            <w:r>
              <w:rPr>
                <w:sz w:val="18"/>
              </w:rPr>
              <w:t>and;</w:t>
            </w:r>
          </w:p>
          <w:p>
            <w:pPr>
              <w:pStyle w:val="TableParagraph"/>
              <w:numPr>
                <w:ilvl w:val="0"/>
                <w:numId w:val="8"/>
              </w:numPr>
              <w:tabs>
                <w:tab w:pos="430" w:val="left" w:leader="none"/>
              </w:tabs>
              <w:spacing w:line="240" w:lineRule="auto" w:before="0" w:after="0"/>
              <w:ind w:left="453" w:right="288" w:hanging="346"/>
              <w:jc w:val="left"/>
              <w:rPr>
                <w:sz w:val="18"/>
              </w:rPr>
            </w:pPr>
            <w:r>
              <w:rPr>
                <w:sz w:val="18"/>
              </w:rPr>
              <w:t>including on any resource consent granted for</w:t>
            </w:r>
            <w:r>
              <w:rPr>
                <w:spacing w:val="-22"/>
                <w:sz w:val="18"/>
              </w:rPr>
              <w:t> </w:t>
            </w:r>
            <w:r>
              <w:rPr>
                <w:sz w:val="18"/>
              </w:rPr>
              <w:t>the use of land for a farming activity, conditions</w:t>
            </w:r>
            <w:r>
              <w:rPr>
                <w:spacing w:val="-18"/>
                <w:sz w:val="18"/>
              </w:rPr>
              <w:t> </w:t>
            </w:r>
            <w:r>
              <w:rPr>
                <w:sz w:val="18"/>
              </w:rPr>
              <w:t>that:</w:t>
            </w:r>
          </w:p>
          <w:p>
            <w:pPr>
              <w:pStyle w:val="TableParagraph"/>
              <w:numPr>
                <w:ilvl w:val="1"/>
                <w:numId w:val="8"/>
              </w:numPr>
              <w:tabs>
                <w:tab w:pos="715" w:val="left" w:leader="none"/>
              </w:tabs>
              <w:spacing w:line="240" w:lineRule="auto" w:before="1" w:after="0"/>
              <w:ind w:left="738" w:right="152" w:hanging="285"/>
              <w:jc w:val="left"/>
              <w:rPr>
                <w:sz w:val="18"/>
              </w:rPr>
            </w:pPr>
            <w:r>
              <w:rPr>
                <w:sz w:val="18"/>
              </w:rPr>
              <w:t>limit the nitrogen loss calculation for the</w:t>
            </w:r>
            <w:r>
              <w:rPr>
                <w:spacing w:val="-20"/>
                <w:sz w:val="18"/>
              </w:rPr>
              <w:t> </w:t>
            </w:r>
            <w:r>
              <w:rPr>
                <w:sz w:val="18"/>
              </w:rPr>
              <w:t>farming activity to a rate not exceeding the Baseline GMP Loss Rate; and</w:t>
            </w:r>
          </w:p>
          <w:p>
            <w:pPr>
              <w:pStyle w:val="TableParagraph"/>
              <w:numPr>
                <w:ilvl w:val="1"/>
                <w:numId w:val="8"/>
              </w:numPr>
              <w:tabs>
                <w:tab w:pos="705" w:val="left" w:leader="none"/>
              </w:tabs>
              <w:spacing w:line="240" w:lineRule="auto" w:before="0" w:after="0"/>
              <w:ind w:left="738" w:right="221" w:hanging="285"/>
              <w:jc w:val="left"/>
              <w:rPr>
                <w:sz w:val="18"/>
              </w:rPr>
            </w:pPr>
            <w:r>
              <w:rPr>
                <w:sz w:val="18"/>
              </w:rPr>
              <w:t>require farming activities to operate at or</w:t>
            </w:r>
            <w:r>
              <w:rPr>
                <w:spacing w:val="-20"/>
                <w:sz w:val="18"/>
              </w:rPr>
              <w:t> </w:t>
            </w:r>
            <w:r>
              <w:rPr>
                <w:sz w:val="18"/>
              </w:rPr>
              <w:t>below the Good Management Practice Loss Rate, in any circumstance where that Good Management Practice Loss Rate is less than the Baseline GMP Loss Rate;</w:t>
            </w:r>
            <w:r>
              <w:rPr>
                <w:spacing w:val="-3"/>
                <w:sz w:val="18"/>
              </w:rPr>
              <w:t> </w:t>
            </w:r>
            <w:r>
              <w:rPr>
                <w:sz w:val="18"/>
              </w:rPr>
              <w:t>and</w:t>
            </w:r>
          </w:p>
          <w:p>
            <w:pPr>
              <w:pStyle w:val="TableParagraph"/>
              <w:numPr>
                <w:ilvl w:val="0"/>
                <w:numId w:val="8"/>
              </w:numPr>
              <w:tabs>
                <w:tab w:pos="420" w:val="left" w:leader="none"/>
              </w:tabs>
              <w:spacing w:line="240" w:lineRule="auto" w:before="0" w:after="0"/>
              <w:ind w:left="453" w:right="317" w:hanging="346"/>
              <w:jc w:val="left"/>
              <w:rPr>
                <w:sz w:val="18"/>
              </w:rPr>
            </w:pPr>
            <w:r>
              <w:rPr>
                <w:sz w:val="18"/>
              </w:rPr>
              <w:t>requiring a Farm Environment Plan as part of</w:t>
            </w:r>
            <w:r>
              <w:rPr>
                <w:spacing w:val="-22"/>
                <w:sz w:val="18"/>
              </w:rPr>
              <w:t> </w:t>
            </w:r>
            <w:r>
              <w:rPr>
                <w:sz w:val="18"/>
              </w:rPr>
              <w:t>any application for resource consent to use land for a farming activity, and requiring that Farm Environment Plan</w:t>
            </w:r>
            <w:r>
              <w:rPr>
                <w:spacing w:val="-1"/>
                <w:sz w:val="18"/>
              </w:rPr>
              <w:t> </w:t>
            </w:r>
            <w:r>
              <w:rPr>
                <w:sz w:val="18"/>
              </w:rPr>
              <w:t>to:</w:t>
            </w:r>
          </w:p>
          <w:p>
            <w:pPr>
              <w:pStyle w:val="TableParagraph"/>
              <w:numPr>
                <w:ilvl w:val="1"/>
                <w:numId w:val="8"/>
              </w:numPr>
              <w:tabs>
                <w:tab w:pos="715" w:val="left" w:leader="none"/>
              </w:tabs>
              <w:spacing w:line="240" w:lineRule="auto" w:before="0" w:after="0"/>
              <w:ind w:left="738" w:right="130" w:hanging="285"/>
              <w:jc w:val="left"/>
              <w:rPr>
                <w:sz w:val="18"/>
              </w:rPr>
            </w:pPr>
            <w:r>
              <w:rPr>
                <w:sz w:val="18"/>
              </w:rPr>
              <w:t>describe the specific on-farm actions that will</w:t>
            </w:r>
            <w:r>
              <w:rPr>
                <w:spacing w:val="-18"/>
                <w:sz w:val="18"/>
              </w:rPr>
              <w:t> </w:t>
            </w:r>
            <w:r>
              <w:rPr>
                <w:sz w:val="18"/>
              </w:rPr>
              <w:t>be undertaken (and the timeframe within which these actions will be undertaken) to implement the Good Management Practices;</w:t>
            </w:r>
            <w:r>
              <w:rPr>
                <w:spacing w:val="-5"/>
                <w:sz w:val="18"/>
              </w:rPr>
              <w:t> </w:t>
            </w:r>
            <w:r>
              <w:rPr>
                <w:sz w:val="18"/>
              </w:rPr>
              <w:t>and</w:t>
            </w:r>
          </w:p>
          <w:p>
            <w:pPr>
              <w:pStyle w:val="TableParagraph"/>
              <w:numPr>
                <w:ilvl w:val="1"/>
                <w:numId w:val="8"/>
              </w:numPr>
              <w:tabs>
                <w:tab w:pos="705" w:val="left" w:leader="none"/>
              </w:tabs>
              <w:spacing w:line="240" w:lineRule="auto" w:before="0" w:after="0"/>
              <w:ind w:left="738" w:right="288" w:hanging="285"/>
              <w:jc w:val="left"/>
              <w:rPr>
                <w:sz w:val="18"/>
              </w:rPr>
            </w:pPr>
            <w:r>
              <w:rPr>
                <w:sz w:val="18"/>
              </w:rPr>
              <w:t>provide an explanation of how these on-farm actions will ensure progress towards the attainment of the management objectives</w:t>
            </w:r>
            <w:r>
              <w:rPr>
                <w:spacing w:val="-18"/>
                <w:sz w:val="18"/>
              </w:rPr>
              <w:t> </w:t>
            </w:r>
            <w:r>
              <w:rPr>
                <w:sz w:val="18"/>
              </w:rPr>
              <w:t>and targets in Schedule 7 of this</w:t>
            </w:r>
            <w:r>
              <w:rPr>
                <w:spacing w:val="-7"/>
                <w:sz w:val="18"/>
              </w:rPr>
              <w:t> </w:t>
            </w:r>
            <w:r>
              <w:rPr>
                <w:sz w:val="18"/>
              </w:rPr>
              <w:t>plan.</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311.329987pt;margin-top:36.469936pt;width:13.8pt;height:13.824pt;mso-position-horizontal-relative:page;mso-position-vertical-relative:paragraph;z-index:-42592" filled="false" stroked="true" strokeweight=".72pt" strokecolor="#000000">
            <v:stroke dashstyle="solid"/>
            <w10:wrap type="none"/>
          </v:rect>
        </w:pict>
      </w:r>
      <w:r>
        <w:rPr/>
        <w:pict>
          <v:rect style="position:absolute;margin-left:356.230011pt;margin-top:36.469936pt;width:13.8pt;height:13.824pt;mso-position-horizontal-relative:page;mso-position-vertical-relative:paragraph;z-index:-42568" filled="false" stroked="true" strokeweight=".72pt" strokecolor="#000000">
            <v:stroke dashstyle="solid"/>
            <w10:wrap type="none"/>
          </v:rect>
        </w:pict>
      </w:r>
      <w:r>
        <w:rPr/>
        <w:pict>
          <v:rect style="position:absolute;margin-left:397.149994pt;margin-top:36.469936pt;width:13.8pt;height:13.824pt;mso-position-horizontal-relative:page;mso-position-vertical-relative:paragraph;z-index:-42544" filled="false" stroked="true" strokeweight=".72pt" strokecolor="#000000">
            <v:stroke dashstyle="solid"/>
            <w10:wrap type="none"/>
          </v:rect>
        </w:pict>
      </w:r>
      <w:r>
        <w:rPr/>
        <w:pict>
          <v:rect style="position:absolute;margin-left:311.329987pt;margin-top:382.129974pt;width:13.8pt;height:13.8pt;mso-position-horizontal-relative:page;mso-position-vertical-relative:page;z-index:-42520" filled="false" stroked="true" strokeweight=".72pt" strokecolor="#000000">
            <v:stroke dashstyle="solid"/>
            <w10:wrap type="none"/>
          </v:rect>
        </w:pict>
      </w:r>
      <w:r>
        <w:rPr/>
        <w:pict>
          <v:rect style="position:absolute;margin-left:356.230011pt;margin-top:382.129974pt;width:13.8pt;height:13.8pt;mso-position-horizontal-relative:page;mso-position-vertical-relative:page;z-index:-42496" filled="false" stroked="true" strokeweight=".72pt" strokecolor="#000000">
            <v:stroke dashstyle="solid"/>
            <w10:wrap type="none"/>
          </v:rect>
        </w:pict>
      </w:r>
      <w:r>
        <w:rPr/>
        <w:pict>
          <v:rect style="position:absolute;margin-left:397.149994pt;margin-top:382.129974pt;width:13.8pt;height:13.8pt;mso-position-horizontal-relative:page;mso-position-vertical-relative:page;z-index:-42472" filled="false" stroked="true" strokeweight=".72pt" strokecolor="#000000">
            <v:stroke dashstyle="solid"/>
            <w10:wrap type="none"/>
          </v:rect>
        </w:pict>
      </w:r>
      <w:r>
        <w:rPr/>
        <w:pict>
          <v:rect style="position:absolute;margin-left:311.329987pt;margin-top:517.149963pt;width:13.8pt;height:13.8pt;mso-position-horizontal-relative:page;mso-position-vertical-relative:page;z-index:-42448" filled="false" stroked="true" strokeweight=".72pt" strokecolor="#000000">
            <v:stroke dashstyle="solid"/>
            <w10:wrap type="none"/>
          </v:rect>
        </w:pict>
      </w:r>
      <w:r>
        <w:rPr/>
        <w:pict>
          <v:rect style="position:absolute;margin-left:356.230011pt;margin-top:517.149963pt;width:13.8pt;height:13.8pt;mso-position-horizontal-relative:page;mso-position-vertical-relative:page;z-index:-42424" filled="false" stroked="true" strokeweight=".72pt" strokecolor="#000000">
            <v:stroke dashstyle="solid"/>
            <w10:wrap type="none"/>
          </v:rect>
        </w:pict>
      </w:r>
      <w:r>
        <w:rPr/>
        <w:pict>
          <v:rect style="position:absolute;margin-left:397.149994pt;margin-top:517.149963pt;width:13.8pt;height:13.8pt;mso-position-horizontal-relative:page;mso-position-vertical-relative:page;z-index:-42400" filled="false" stroked="true" strokeweight=".72pt" strokecolor="#000000">
            <v:stroke dashstyle="solid"/>
            <w10:wrap type="none"/>
          </v:rect>
        </w:pict>
      </w:r>
      <w:r>
        <w:rPr/>
        <w:pict>
          <v:rect style="position:absolute;margin-left:311.329987pt;margin-top:571.269958pt;width:13.8pt;height:13.8pt;mso-position-horizontal-relative:page;mso-position-vertical-relative:page;z-index:-42376" filled="false" stroked="true" strokeweight=".72pt" strokecolor="#000000">
            <v:stroke dashstyle="solid"/>
            <w10:wrap type="none"/>
          </v:rect>
        </w:pict>
      </w:r>
      <w:r>
        <w:rPr/>
        <w:pict>
          <v:rect style="position:absolute;margin-left:356.230011pt;margin-top:571.269958pt;width:13.8pt;height:13.8pt;mso-position-horizontal-relative:page;mso-position-vertical-relative:page;z-index:-42352" filled="false" stroked="true" strokeweight=".72pt" strokecolor="#000000">
            <v:stroke dashstyle="solid"/>
            <w10:wrap type="none"/>
          </v:rect>
        </w:pict>
      </w:r>
      <w:r>
        <w:rPr/>
        <w:pict>
          <v:rect style="position:absolute;margin-left:397.149994pt;margin-top:571.269958pt;width:13.8pt;height:13.8pt;mso-position-horizontal-relative:page;mso-position-vertical-relative:page;z-index:-42328" filled="false" stroked="true" strokeweight=".72pt" strokecolor="#000000">
            <v:stroke dashstyle="solid"/>
            <w10:wrap type="none"/>
          </v:rect>
        </w:pict>
      </w:r>
      <w:r>
        <w:rPr/>
        <w:t>APPLICATION TO USE LAND FOR FARMING ACTIVITY IN</w:t>
      </w:r>
      <w:r>
        <w:rPr>
          <w:spacing w:val="-18"/>
        </w:rPr>
        <w:t> </w:t>
      </w:r>
      <w:r>
        <w:rPr/>
        <w:t>ORANGE ZONE</w:t>
        <w:tab/>
        <w:t>PAGE 4</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678"/>
        <w:gridCol w:w="2835"/>
        <w:gridCol w:w="2552"/>
      </w:tblGrid>
      <w:tr>
        <w:trPr>
          <w:trHeight w:val="6005" w:hRule="atLeast"/>
        </w:trPr>
        <w:tc>
          <w:tcPr>
            <w:tcW w:w="740" w:type="dxa"/>
          </w:tcPr>
          <w:p>
            <w:pPr>
              <w:pStyle w:val="TableParagraph"/>
              <w:spacing w:before="121"/>
              <w:ind w:left="89" w:right="249"/>
              <w:jc w:val="center"/>
              <w:rPr>
                <w:sz w:val="18"/>
              </w:rPr>
            </w:pPr>
            <w:r>
              <w:rPr>
                <w:sz w:val="18"/>
              </w:rPr>
              <w:t>4.38</w:t>
            </w:r>
          </w:p>
        </w:tc>
        <w:tc>
          <w:tcPr>
            <w:tcW w:w="4678" w:type="dxa"/>
          </w:tcPr>
          <w:p>
            <w:pPr>
              <w:pStyle w:val="TableParagraph"/>
              <w:spacing w:before="1"/>
              <w:rPr>
                <w:sz w:val="18"/>
              </w:rPr>
            </w:pPr>
          </w:p>
          <w:p>
            <w:pPr>
              <w:pStyle w:val="TableParagraph"/>
              <w:ind w:left="107" w:right="499"/>
              <w:rPr>
                <w:sz w:val="18"/>
              </w:rPr>
            </w:pPr>
            <w:r>
              <w:rPr>
                <w:sz w:val="18"/>
              </w:rPr>
              <w:t>Freshwater quality is maintained within the Orange Nutrient Allocation Zone by:</w:t>
            </w:r>
          </w:p>
          <w:p>
            <w:pPr>
              <w:pStyle w:val="TableParagraph"/>
              <w:numPr>
                <w:ilvl w:val="0"/>
                <w:numId w:val="9"/>
              </w:numPr>
              <w:tabs>
                <w:tab w:pos="430" w:val="left" w:leader="none"/>
              </w:tabs>
              <w:spacing w:line="240" w:lineRule="auto" w:before="0" w:after="0"/>
              <w:ind w:left="453" w:right="196" w:hanging="346"/>
              <w:jc w:val="left"/>
              <w:rPr>
                <w:sz w:val="18"/>
              </w:rPr>
            </w:pPr>
            <w:r>
              <w:rPr>
                <w:sz w:val="18"/>
              </w:rPr>
              <w:t>restricting nitrogen losses from farming activities</w:t>
            </w:r>
            <w:r>
              <w:rPr>
                <w:spacing w:val="-17"/>
                <w:sz w:val="18"/>
              </w:rPr>
              <w:t> </w:t>
            </w:r>
            <w:r>
              <w:rPr>
                <w:sz w:val="18"/>
              </w:rPr>
              <w:t>to the lesser of the Baseline GMP Loss Rate or the Good Management Practice Loss Rate, except where Policy 4.38A applies;</w:t>
            </w:r>
            <w:r>
              <w:rPr>
                <w:spacing w:val="-4"/>
                <w:sz w:val="18"/>
              </w:rPr>
              <w:t> </w:t>
            </w:r>
            <w:r>
              <w:rPr>
                <w:sz w:val="18"/>
              </w:rPr>
              <w:t>and</w:t>
            </w:r>
          </w:p>
          <w:p>
            <w:pPr>
              <w:pStyle w:val="TableParagraph"/>
              <w:numPr>
                <w:ilvl w:val="0"/>
                <w:numId w:val="9"/>
              </w:numPr>
              <w:tabs>
                <w:tab w:pos="430" w:val="left" w:leader="none"/>
              </w:tabs>
              <w:spacing w:line="240" w:lineRule="auto" w:before="0" w:after="0"/>
              <w:ind w:left="453" w:right="286" w:hanging="346"/>
              <w:jc w:val="left"/>
              <w:rPr>
                <w:sz w:val="18"/>
              </w:rPr>
            </w:pPr>
            <w:r>
              <w:rPr>
                <w:sz w:val="18"/>
              </w:rPr>
              <w:t>including on any resource consent granted for</w:t>
            </w:r>
            <w:r>
              <w:rPr>
                <w:spacing w:val="-20"/>
                <w:sz w:val="18"/>
              </w:rPr>
              <w:t> </w:t>
            </w:r>
            <w:r>
              <w:rPr>
                <w:sz w:val="18"/>
              </w:rPr>
              <w:t>the use of land for a farming activity, conditions</w:t>
            </w:r>
            <w:r>
              <w:rPr>
                <w:spacing w:val="-15"/>
                <w:sz w:val="18"/>
              </w:rPr>
              <w:t> </w:t>
            </w:r>
            <w:r>
              <w:rPr>
                <w:sz w:val="18"/>
              </w:rPr>
              <w:t>that:</w:t>
            </w:r>
          </w:p>
          <w:p>
            <w:pPr>
              <w:pStyle w:val="TableParagraph"/>
              <w:numPr>
                <w:ilvl w:val="1"/>
                <w:numId w:val="9"/>
              </w:numPr>
              <w:tabs>
                <w:tab w:pos="715" w:val="left" w:leader="none"/>
              </w:tabs>
              <w:spacing w:line="240" w:lineRule="auto" w:before="0" w:after="0"/>
              <w:ind w:left="738" w:right="152" w:hanging="285"/>
              <w:jc w:val="left"/>
              <w:rPr>
                <w:sz w:val="18"/>
              </w:rPr>
            </w:pPr>
            <w:r>
              <w:rPr>
                <w:sz w:val="18"/>
              </w:rPr>
              <w:t>limit the nitrogen loss calculation for the</w:t>
            </w:r>
            <w:r>
              <w:rPr>
                <w:spacing w:val="-20"/>
                <w:sz w:val="18"/>
              </w:rPr>
              <w:t> </w:t>
            </w:r>
            <w:r>
              <w:rPr>
                <w:sz w:val="18"/>
              </w:rPr>
              <w:t>farming activity to a rate not exceeding the Baseline GMP Loss Rate; and</w:t>
            </w:r>
          </w:p>
          <w:p>
            <w:pPr>
              <w:pStyle w:val="TableParagraph"/>
              <w:numPr>
                <w:ilvl w:val="1"/>
                <w:numId w:val="9"/>
              </w:numPr>
              <w:tabs>
                <w:tab w:pos="705" w:val="left" w:leader="none"/>
              </w:tabs>
              <w:spacing w:line="240" w:lineRule="auto" w:before="0" w:after="0"/>
              <w:ind w:left="738" w:right="223" w:hanging="285"/>
              <w:jc w:val="left"/>
              <w:rPr>
                <w:sz w:val="18"/>
              </w:rPr>
            </w:pPr>
            <w:r>
              <w:rPr>
                <w:sz w:val="18"/>
              </w:rPr>
              <w:t>require farming activities to operate at or</w:t>
            </w:r>
            <w:r>
              <w:rPr>
                <w:spacing w:val="-21"/>
                <w:sz w:val="18"/>
              </w:rPr>
              <w:t> </w:t>
            </w:r>
            <w:r>
              <w:rPr>
                <w:sz w:val="18"/>
              </w:rPr>
              <w:t>below the Good Management Practice Loss Rate, in any circumstance where that Good Management Practice Loss Rate is less than the Baseline GMP Loss Rate;</w:t>
            </w:r>
            <w:r>
              <w:rPr>
                <w:spacing w:val="-3"/>
                <w:sz w:val="18"/>
              </w:rPr>
              <w:t> </w:t>
            </w:r>
            <w:r>
              <w:rPr>
                <w:sz w:val="18"/>
              </w:rPr>
              <w:t>and</w:t>
            </w:r>
          </w:p>
          <w:p>
            <w:pPr>
              <w:pStyle w:val="TableParagraph"/>
              <w:numPr>
                <w:ilvl w:val="0"/>
                <w:numId w:val="9"/>
              </w:numPr>
              <w:tabs>
                <w:tab w:pos="468" w:val="left" w:leader="none"/>
              </w:tabs>
              <w:spacing w:line="240" w:lineRule="auto" w:before="0" w:after="0"/>
              <w:ind w:left="467" w:right="267" w:hanging="360"/>
              <w:jc w:val="left"/>
              <w:rPr>
                <w:sz w:val="18"/>
              </w:rPr>
            </w:pPr>
            <w:r>
              <w:rPr>
                <w:sz w:val="18"/>
              </w:rPr>
              <w:t>requiring a Farm Environment Plan as part of any application for resource consent to use land for a farming activity, and requiring that Farm Environment Plan</w:t>
            </w:r>
            <w:r>
              <w:rPr>
                <w:spacing w:val="-1"/>
                <w:sz w:val="18"/>
              </w:rPr>
              <w:t> </w:t>
            </w:r>
            <w:r>
              <w:rPr>
                <w:sz w:val="18"/>
              </w:rPr>
              <w:t>to:</w:t>
            </w:r>
          </w:p>
          <w:p>
            <w:pPr>
              <w:pStyle w:val="TableParagraph"/>
              <w:numPr>
                <w:ilvl w:val="1"/>
                <w:numId w:val="9"/>
              </w:numPr>
              <w:tabs>
                <w:tab w:pos="665" w:val="left" w:leader="none"/>
              </w:tabs>
              <w:spacing w:line="240" w:lineRule="auto" w:before="1" w:after="0"/>
              <w:ind w:left="738" w:right="180" w:hanging="285"/>
              <w:jc w:val="left"/>
              <w:rPr>
                <w:sz w:val="18"/>
              </w:rPr>
            </w:pPr>
            <w:r>
              <w:rPr>
                <w:sz w:val="18"/>
              </w:rPr>
              <w:t>describe the specific on-farm actions that will be undertaken (and the timeframe within which these actions will be undertaken) to implement the Good Management Practices;</w:t>
            </w:r>
            <w:r>
              <w:rPr>
                <w:spacing w:val="-2"/>
                <w:sz w:val="18"/>
              </w:rPr>
              <w:t> </w:t>
            </w:r>
            <w:r>
              <w:rPr>
                <w:sz w:val="18"/>
              </w:rPr>
              <w:t>and</w:t>
            </w:r>
          </w:p>
          <w:p>
            <w:pPr>
              <w:pStyle w:val="TableParagraph"/>
              <w:numPr>
                <w:ilvl w:val="1"/>
                <w:numId w:val="9"/>
              </w:numPr>
              <w:tabs>
                <w:tab w:pos="705" w:val="left" w:leader="none"/>
              </w:tabs>
              <w:spacing w:line="206" w:lineRule="exact" w:before="4" w:after="0"/>
              <w:ind w:left="738" w:right="288" w:hanging="285"/>
              <w:jc w:val="left"/>
              <w:rPr>
                <w:sz w:val="18"/>
              </w:rPr>
            </w:pPr>
            <w:r>
              <w:rPr>
                <w:sz w:val="18"/>
              </w:rPr>
              <w:t>provide an explanation of how these on-farm actions will ensure progress towards the attainment of the management objectives</w:t>
            </w:r>
            <w:r>
              <w:rPr>
                <w:spacing w:val="-18"/>
                <w:sz w:val="18"/>
              </w:rPr>
              <w:t> </w:t>
            </w:r>
            <w:r>
              <w:rPr>
                <w:sz w:val="18"/>
              </w:rPr>
              <w:t>and targets in Schedule 7 of this</w:t>
            </w:r>
            <w:r>
              <w:rPr>
                <w:spacing w:val="-7"/>
                <w:sz w:val="18"/>
              </w:rPr>
              <w:t> </w:t>
            </w:r>
            <w:r>
              <w:rPr>
                <w:sz w:val="18"/>
              </w:rPr>
              <w:t>plan.</w:t>
            </w:r>
          </w:p>
        </w:tc>
        <w:tc>
          <w:tcPr>
            <w:tcW w:w="2835" w:type="dxa"/>
          </w:tcPr>
          <w:p>
            <w:pPr>
              <w:pStyle w:val="TableParagraph"/>
              <w:spacing w:before="5"/>
              <w:rPr>
                <w:sz w:val="18"/>
              </w:rPr>
            </w:pPr>
          </w:p>
          <w:p>
            <w:pPr>
              <w:pStyle w:val="TableParagraph"/>
              <w:tabs>
                <w:tab w:pos="897" w:val="left" w:leader="none"/>
                <w:tab w:pos="1727" w:val="left" w:leader="none"/>
              </w:tabs>
              <w:spacing w:before="1"/>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2690" w:hRule="atLeast"/>
        </w:trPr>
        <w:tc>
          <w:tcPr>
            <w:tcW w:w="740" w:type="dxa"/>
          </w:tcPr>
          <w:p>
            <w:pPr>
              <w:pStyle w:val="TableParagraph"/>
              <w:spacing w:before="119"/>
              <w:ind w:left="78" w:right="118"/>
              <w:jc w:val="center"/>
              <w:rPr>
                <w:sz w:val="18"/>
              </w:rPr>
            </w:pPr>
            <w:r>
              <w:rPr>
                <w:sz w:val="18"/>
              </w:rPr>
              <w:t>4.38A</w:t>
            </w:r>
          </w:p>
        </w:tc>
        <w:tc>
          <w:tcPr>
            <w:tcW w:w="4678" w:type="dxa"/>
          </w:tcPr>
          <w:p>
            <w:pPr>
              <w:pStyle w:val="TableParagraph"/>
              <w:spacing w:before="9"/>
              <w:rPr>
                <w:sz w:val="17"/>
              </w:rPr>
            </w:pPr>
          </w:p>
          <w:p>
            <w:pPr>
              <w:pStyle w:val="TableParagraph"/>
              <w:spacing w:before="1"/>
              <w:ind w:left="107" w:right="158"/>
              <w:rPr>
                <w:sz w:val="18"/>
              </w:rPr>
            </w:pPr>
            <w:r>
              <w:rPr>
                <w:sz w:val="18"/>
              </w:rPr>
              <w:t>Within the Red, Orange, Green or Light Blue Nutrient Allocation Zones, only consider the granting of an application for resource consent to exceed the nitrogen baseline where:</w:t>
            </w:r>
          </w:p>
          <w:p>
            <w:pPr>
              <w:pStyle w:val="TableParagraph"/>
              <w:numPr>
                <w:ilvl w:val="0"/>
                <w:numId w:val="10"/>
              </w:numPr>
              <w:tabs>
                <w:tab w:pos="480" w:val="left" w:leader="none"/>
              </w:tabs>
              <w:spacing w:line="240" w:lineRule="auto" w:before="0" w:after="0"/>
              <w:ind w:left="474" w:right="151" w:hanging="367"/>
              <w:jc w:val="left"/>
              <w:rPr>
                <w:sz w:val="18"/>
              </w:rPr>
            </w:pPr>
            <w:r>
              <w:rPr>
                <w:sz w:val="18"/>
              </w:rPr>
              <w:t>the nitrogen baseline has been lawfully exceeded prior to 13 February 2016 and the application contains evidence that the exceedance was</w:t>
            </w:r>
            <w:r>
              <w:rPr>
                <w:spacing w:val="-22"/>
                <w:sz w:val="18"/>
              </w:rPr>
              <w:t> </w:t>
            </w:r>
            <w:r>
              <w:rPr>
                <w:sz w:val="18"/>
              </w:rPr>
              <w:t>lawful; and</w:t>
            </w:r>
          </w:p>
          <w:p>
            <w:pPr>
              <w:pStyle w:val="TableParagraph"/>
              <w:numPr>
                <w:ilvl w:val="0"/>
                <w:numId w:val="10"/>
              </w:numPr>
              <w:tabs>
                <w:tab w:pos="480" w:val="left" w:leader="none"/>
              </w:tabs>
              <w:spacing w:line="240" w:lineRule="auto" w:before="0" w:after="0"/>
              <w:ind w:left="474" w:right="231" w:hanging="367"/>
              <w:jc w:val="left"/>
              <w:rPr>
                <w:sz w:val="18"/>
              </w:rPr>
            </w:pPr>
            <w:r>
              <w:rPr>
                <w:sz w:val="18"/>
              </w:rPr>
              <w:t>the nitrogen loss calculation remains below the lesser of the Good Management Practice Loss Rate or the nitrogen loss calculation that</w:t>
            </w:r>
            <w:r>
              <w:rPr>
                <w:spacing w:val="-19"/>
                <w:sz w:val="18"/>
              </w:rPr>
              <w:t> </w:t>
            </w:r>
            <w:r>
              <w:rPr>
                <w:sz w:val="18"/>
              </w:rPr>
              <w:t>occurred</w:t>
            </w:r>
          </w:p>
          <w:p>
            <w:pPr>
              <w:pStyle w:val="TableParagraph"/>
              <w:spacing w:line="187" w:lineRule="exact" w:before="1"/>
              <w:ind w:left="474"/>
              <w:rPr>
                <w:sz w:val="18"/>
              </w:rPr>
            </w:pPr>
            <w:r>
              <w:rPr>
                <w:sz w:val="18"/>
              </w:rPr>
              <w:t>in the four years prior to 13 February 2016.</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1069" w:hRule="atLeast"/>
        </w:trPr>
        <w:tc>
          <w:tcPr>
            <w:tcW w:w="740" w:type="dxa"/>
          </w:tcPr>
          <w:p>
            <w:pPr>
              <w:pStyle w:val="TableParagraph"/>
              <w:spacing w:before="119"/>
              <w:ind w:left="89" w:right="117"/>
              <w:jc w:val="center"/>
              <w:rPr>
                <w:sz w:val="18"/>
              </w:rPr>
            </w:pPr>
            <w:r>
              <w:rPr>
                <w:sz w:val="18"/>
              </w:rPr>
              <w:t>4.38C</w:t>
            </w:r>
          </w:p>
        </w:tc>
        <w:tc>
          <w:tcPr>
            <w:tcW w:w="4678" w:type="dxa"/>
          </w:tcPr>
          <w:p>
            <w:pPr>
              <w:pStyle w:val="TableParagraph"/>
              <w:spacing w:before="9"/>
              <w:rPr>
                <w:sz w:val="17"/>
              </w:rPr>
            </w:pPr>
          </w:p>
          <w:p>
            <w:pPr>
              <w:pStyle w:val="TableParagraph"/>
              <w:spacing w:before="1"/>
              <w:ind w:left="107" w:right="108"/>
              <w:rPr>
                <w:sz w:val="18"/>
              </w:rPr>
            </w:pPr>
            <w:r>
              <w:rPr>
                <w:sz w:val="18"/>
              </w:rPr>
              <w:t>Where a policy or a condition in a rule requires compliance with a Baseline GMP Loss rate, compliance with that loss rate shall not be required prior to 30 June 2020.</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3230" w:hRule="atLeast"/>
        </w:trPr>
        <w:tc>
          <w:tcPr>
            <w:tcW w:w="740" w:type="dxa"/>
          </w:tcPr>
          <w:p>
            <w:pPr>
              <w:pStyle w:val="TableParagraph"/>
              <w:spacing w:before="121"/>
              <w:ind w:left="89" w:right="117"/>
              <w:jc w:val="center"/>
              <w:rPr>
                <w:sz w:val="18"/>
              </w:rPr>
            </w:pPr>
            <w:r>
              <w:rPr>
                <w:sz w:val="18"/>
              </w:rPr>
              <w:t>4.38D</w:t>
            </w:r>
          </w:p>
        </w:tc>
        <w:tc>
          <w:tcPr>
            <w:tcW w:w="4678" w:type="dxa"/>
          </w:tcPr>
          <w:p>
            <w:pPr>
              <w:pStyle w:val="TableParagraph"/>
              <w:rPr>
                <w:sz w:val="18"/>
              </w:rPr>
            </w:pPr>
          </w:p>
          <w:p>
            <w:pPr>
              <w:pStyle w:val="TableParagraph"/>
              <w:ind w:left="107" w:right="149"/>
              <w:rPr>
                <w:sz w:val="18"/>
              </w:rPr>
            </w:pPr>
            <w:r>
              <w:rPr>
                <w:sz w:val="18"/>
              </w:rPr>
              <w:t>Where a policy or rule requires a farming activity to be managed in accordance with the Good Management Practice Loss Rate, compliance with that loss rate shall not be required prior to:</w:t>
            </w:r>
          </w:p>
          <w:p>
            <w:pPr>
              <w:pStyle w:val="TableParagraph"/>
              <w:numPr>
                <w:ilvl w:val="0"/>
                <w:numId w:val="11"/>
              </w:numPr>
              <w:tabs>
                <w:tab w:pos="430" w:val="left" w:leader="none"/>
              </w:tabs>
              <w:spacing w:line="240" w:lineRule="auto" w:before="1" w:after="0"/>
              <w:ind w:left="465" w:right="218" w:hanging="358"/>
              <w:jc w:val="left"/>
              <w:rPr>
                <w:sz w:val="18"/>
              </w:rPr>
            </w:pPr>
            <w:r>
              <w:rPr>
                <w:sz w:val="18"/>
              </w:rPr>
              <w:t>1 July 2016 for any land where part of the</w:t>
            </w:r>
            <w:r>
              <w:rPr>
                <w:spacing w:val="-23"/>
                <w:sz w:val="18"/>
              </w:rPr>
              <w:t> </w:t>
            </w:r>
            <w:r>
              <w:rPr>
                <w:sz w:val="18"/>
              </w:rPr>
              <w:t>property is located within the Lake</w:t>
            </w:r>
            <w:r>
              <w:rPr>
                <w:spacing w:val="-3"/>
                <w:sz w:val="18"/>
              </w:rPr>
              <w:t> </w:t>
            </w:r>
            <w:r>
              <w:rPr>
                <w:sz w:val="18"/>
              </w:rPr>
              <w:t>Zone;</w:t>
            </w:r>
          </w:p>
          <w:p>
            <w:pPr>
              <w:pStyle w:val="TableParagraph"/>
              <w:numPr>
                <w:ilvl w:val="0"/>
                <w:numId w:val="11"/>
              </w:numPr>
              <w:tabs>
                <w:tab w:pos="430" w:val="left" w:leader="none"/>
              </w:tabs>
              <w:spacing w:line="240" w:lineRule="auto" w:before="0" w:after="0"/>
              <w:ind w:left="465" w:right="590" w:hanging="358"/>
              <w:jc w:val="both"/>
              <w:rPr>
                <w:sz w:val="18"/>
              </w:rPr>
            </w:pPr>
            <w:r>
              <w:rPr>
                <w:sz w:val="18"/>
              </w:rPr>
              <w:t>1 January 2017 for any land where part of the property is located within the Orange</w:t>
            </w:r>
            <w:r>
              <w:rPr>
                <w:spacing w:val="-17"/>
                <w:sz w:val="18"/>
              </w:rPr>
              <w:t> </w:t>
            </w:r>
            <w:r>
              <w:rPr>
                <w:sz w:val="18"/>
              </w:rPr>
              <w:t>Nutrient Allocation</w:t>
            </w:r>
            <w:r>
              <w:rPr>
                <w:spacing w:val="-1"/>
                <w:sz w:val="18"/>
              </w:rPr>
              <w:t> </w:t>
            </w:r>
            <w:r>
              <w:rPr>
                <w:sz w:val="18"/>
              </w:rPr>
              <w:t>Zone;</w:t>
            </w:r>
          </w:p>
          <w:p>
            <w:pPr>
              <w:pStyle w:val="TableParagraph"/>
              <w:numPr>
                <w:ilvl w:val="0"/>
                <w:numId w:val="11"/>
              </w:numPr>
              <w:tabs>
                <w:tab w:pos="420" w:val="left" w:leader="none"/>
              </w:tabs>
              <w:spacing w:line="240" w:lineRule="auto" w:before="0" w:after="0"/>
              <w:ind w:left="465" w:right="227" w:hanging="358"/>
              <w:jc w:val="left"/>
              <w:rPr>
                <w:sz w:val="18"/>
              </w:rPr>
            </w:pPr>
            <w:r>
              <w:rPr>
                <w:sz w:val="18"/>
              </w:rPr>
              <w:t>1 July 2017 for any land where part of the</w:t>
            </w:r>
            <w:r>
              <w:rPr>
                <w:spacing w:val="-21"/>
                <w:sz w:val="18"/>
              </w:rPr>
              <w:t> </w:t>
            </w:r>
            <w:r>
              <w:rPr>
                <w:sz w:val="18"/>
              </w:rPr>
              <w:t>property is located within the Red Nutrient Allocation</w:t>
            </w:r>
            <w:r>
              <w:rPr>
                <w:spacing w:val="-17"/>
                <w:sz w:val="18"/>
              </w:rPr>
              <w:t> </w:t>
            </w:r>
            <w:r>
              <w:rPr>
                <w:sz w:val="18"/>
              </w:rPr>
              <w:t>Zone;</w:t>
            </w:r>
          </w:p>
          <w:p>
            <w:pPr>
              <w:pStyle w:val="TableParagraph"/>
              <w:numPr>
                <w:ilvl w:val="0"/>
                <w:numId w:val="11"/>
              </w:numPr>
              <w:tabs>
                <w:tab w:pos="379" w:val="left" w:leader="none"/>
              </w:tabs>
              <w:spacing w:line="240" w:lineRule="auto" w:before="0" w:after="0"/>
              <w:ind w:left="465" w:right="308" w:hanging="358"/>
              <w:jc w:val="left"/>
              <w:rPr>
                <w:sz w:val="18"/>
              </w:rPr>
            </w:pPr>
            <w:r>
              <w:rPr>
                <w:sz w:val="18"/>
              </w:rPr>
              <w:t>1 January 2018 for any land where part of the property is located within the Green or Light Blue Nutrient Allocation</w:t>
            </w:r>
            <w:r>
              <w:rPr>
                <w:spacing w:val="-5"/>
                <w:sz w:val="18"/>
              </w:rPr>
              <w:t> </w:t>
            </w:r>
            <w:r>
              <w:rPr>
                <w:sz w:val="18"/>
              </w:rPr>
              <w:t>Zone.</w:t>
            </w:r>
          </w:p>
        </w:tc>
        <w:tc>
          <w:tcPr>
            <w:tcW w:w="2835" w:type="dxa"/>
          </w:tcPr>
          <w:p>
            <w:pPr>
              <w:pStyle w:val="TableParagraph"/>
              <w:spacing w:before="5"/>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311.329987pt;margin-top:36.469936pt;width:13.8pt;height:13.824pt;mso-position-horizontal-relative:page;mso-position-vertical-relative:paragraph;z-index:-42304" filled="false" stroked="true" strokeweight=".72pt" strokecolor="#000000">
            <v:stroke dashstyle="solid"/>
            <w10:wrap type="none"/>
          </v:rect>
        </w:pict>
      </w:r>
      <w:r>
        <w:rPr/>
        <w:pict>
          <v:rect style="position:absolute;margin-left:356.230011pt;margin-top:36.469936pt;width:13.8pt;height:13.824pt;mso-position-horizontal-relative:page;mso-position-vertical-relative:paragraph;z-index:-42280" filled="false" stroked="true" strokeweight=".72pt" strokecolor="#000000">
            <v:stroke dashstyle="solid"/>
            <w10:wrap type="none"/>
          </v:rect>
        </w:pict>
      </w:r>
      <w:r>
        <w:rPr/>
        <w:pict>
          <v:rect style="position:absolute;margin-left:397.149994pt;margin-top:36.469936pt;width:13.8pt;height:13.824pt;mso-position-horizontal-relative:page;mso-position-vertical-relative:paragraph;z-index:-42256" filled="false" stroked="true" strokeweight=".72pt" strokecolor="#000000">
            <v:stroke dashstyle="solid"/>
            <w10:wrap type="none"/>
          </v:rect>
        </w:pict>
      </w:r>
      <w:r>
        <w:rPr/>
        <w:pict>
          <v:rect style="position:absolute;margin-left:311.329987pt;margin-top:243.379974pt;width:13.8pt;height:13.8pt;mso-position-horizontal-relative:page;mso-position-vertical-relative:page;z-index:-42232" filled="false" stroked="true" strokeweight=".72pt" strokecolor="#000000">
            <v:stroke dashstyle="solid"/>
            <w10:wrap type="none"/>
          </v:rect>
        </w:pict>
      </w:r>
      <w:r>
        <w:rPr/>
        <w:pict>
          <v:rect style="position:absolute;margin-left:356.230011pt;margin-top:243.379974pt;width:13.8pt;height:13.8pt;mso-position-horizontal-relative:page;mso-position-vertical-relative:page;z-index:-42208" filled="false" stroked="true" strokeweight=".72pt" strokecolor="#000000">
            <v:stroke dashstyle="solid"/>
            <w10:wrap type="none"/>
          </v:rect>
        </w:pict>
      </w:r>
      <w:r>
        <w:rPr/>
        <w:pict>
          <v:rect style="position:absolute;margin-left:397.149994pt;margin-top:243.379974pt;width:13.8pt;height:13.8pt;mso-position-horizontal-relative:page;mso-position-vertical-relative:page;z-index:-42184" filled="false" stroked="true" strokeweight=".72pt" strokecolor="#000000">
            <v:stroke dashstyle="solid"/>
            <w10:wrap type="none"/>
          </v:rect>
        </w:pict>
      </w:r>
      <w:r>
        <w:rPr/>
        <w:pict>
          <v:rect style="position:absolute;margin-left:311.329987pt;margin-top:405.409973pt;width:13.8pt;height:13.8pt;mso-position-horizontal-relative:page;mso-position-vertical-relative:page;z-index:-42160" filled="false" stroked="true" strokeweight=".72pt" strokecolor="#000000">
            <v:stroke dashstyle="solid"/>
            <w10:wrap type="none"/>
          </v:rect>
        </w:pict>
      </w:r>
      <w:r>
        <w:rPr/>
        <w:pict>
          <v:rect style="position:absolute;margin-left:356.230011pt;margin-top:405.409973pt;width:13.8pt;height:13.8pt;mso-position-horizontal-relative:page;mso-position-vertical-relative:page;z-index:-42136" filled="false" stroked="true" strokeweight=".72pt" strokecolor="#000000">
            <v:stroke dashstyle="solid"/>
            <w10:wrap type="none"/>
          </v:rect>
        </w:pict>
      </w:r>
      <w:r>
        <w:rPr/>
        <w:pict>
          <v:rect style="position:absolute;margin-left:397.149994pt;margin-top:405.409973pt;width:13.8pt;height:13.8pt;mso-position-horizontal-relative:page;mso-position-vertical-relative:page;z-index:-42112" filled="false" stroked="true" strokeweight=".72pt" strokecolor="#000000">
            <v:stroke dashstyle="solid"/>
            <w10:wrap type="none"/>
          </v:rect>
        </w:pict>
      </w:r>
      <w:r>
        <w:rPr/>
        <w:pict>
          <v:rect style="position:absolute;margin-left:311.329987pt;margin-top:583.509949pt;width:13.8pt;height:13.8pt;mso-position-horizontal-relative:page;mso-position-vertical-relative:page;z-index:-42088" filled="false" stroked="true" strokeweight=".72pt" strokecolor="#000000">
            <v:stroke dashstyle="solid"/>
            <w10:wrap type="none"/>
          </v:rect>
        </w:pict>
      </w:r>
      <w:r>
        <w:rPr/>
        <w:pict>
          <v:rect style="position:absolute;margin-left:356.230011pt;margin-top:583.509949pt;width:13.8pt;height:13.8pt;mso-position-horizontal-relative:page;mso-position-vertical-relative:page;z-index:-42064" filled="false" stroked="true" strokeweight=".72pt" strokecolor="#000000">
            <v:stroke dashstyle="solid"/>
            <w10:wrap type="none"/>
          </v:rect>
        </w:pict>
      </w:r>
      <w:r>
        <w:rPr/>
        <w:pict>
          <v:rect style="position:absolute;margin-left:397.149994pt;margin-top:583.509949pt;width:13.8pt;height:13.8pt;mso-position-horizontal-relative:page;mso-position-vertical-relative:page;z-index:-42040" filled="false" stroked="true" strokeweight=".72pt" strokecolor="#000000">
            <v:stroke dashstyle="solid"/>
            <w10:wrap type="none"/>
          </v:rect>
        </w:pict>
      </w:r>
      <w:r>
        <w:rPr/>
        <w:t>APPLICATION TO USE LAND FOR FARMING ACTIVITY IN</w:t>
      </w:r>
      <w:r>
        <w:rPr>
          <w:spacing w:val="-18"/>
        </w:rPr>
        <w:t> </w:t>
      </w:r>
      <w:r>
        <w:rPr/>
        <w:t>ORANGE ZONE</w:t>
        <w:tab/>
        <w:t>PAGE 5</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678"/>
        <w:gridCol w:w="2835"/>
        <w:gridCol w:w="2552"/>
      </w:tblGrid>
      <w:tr>
        <w:trPr>
          <w:trHeight w:val="3230" w:hRule="atLeast"/>
        </w:trPr>
        <w:tc>
          <w:tcPr>
            <w:tcW w:w="740" w:type="dxa"/>
          </w:tcPr>
          <w:p>
            <w:pPr>
              <w:pStyle w:val="TableParagraph"/>
              <w:spacing w:before="121"/>
              <w:ind w:left="80" w:right="118"/>
              <w:jc w:val="center"/>
              <w:rPr>
                <w:sz w:val="18"/>
              </w:rPr>
            </w:pPr>
            <w:r>
              <w:rPr>
                <w:sz w:val="18"/>
              </w:rPr>
              <w:t>4.38E</w:t>
            </w:r>
          </w:p>
        </w:tc>
        <w:tc>
          <w:tcPr>
            <w:tcW w:w="4678" w:type="dxa"/>
          </w:tcPr>
          <w:p>
            <w:pPr>
              <w:pStyle w:val="TableParagraph"/>
              <w:spacing w:before="1"/>
              <w:rPr>
                <w:sz w:val="18"/>
              </w:rPr>
            </w:pPr>
          </w:p>
          <w:p>
            <w:pPr>
              <w:pStyle w:val="TableParagraph"/>
              <w:ind w:left="107" w:right="98"/>
              <w:rPr>
                <w:sz w:val="18"/>
              </w:rPr>
            </w:pPr>
            <w:r>
              <w:rPr>
                <w:sz w:val="18"/>
              </w:rPr>
              <w:t>Manage the loss of phosphorus to water from land used for farming activities by:</w:t>
            </w:r>
          </w:p>
          <w:p>
            <w:pPr>
              <w:pStyle w:val="TableParagraph"/>
              <w:numPr>
                <w:ilvl w:val="0"/>
                <w:numId w:val="12"/>
              </w:numPr>
              <w:tabs>
                <w:tab w:pos="480" w:val="left" w:leader="none"/>
              </w:tabs>
              <w:spacing w:line="240" w:lineRule="auto" w:before="0" w:after="0"/>
              <w:ind w:left="465" w:right="188" w:hanging="358"/>
              <w:jc w:val="left"/>
              <w:rPr>
                <w:sz w:val="18"/>
              </w:rPr>
            </w:pPr>
            <w:r>
              <w:rPr>
                <w:sz w:val="18"/>
              </w:rPr>
              <w:t>identifying on the Planning Maps High Runoff</w:t>
            </w:r>
            <w:r>
              <w:rPr>
                <w:spacing w:val="-21"/>
                <w:sz w:val="18"/>
              </w:rPr>
              <w:t> </w:t>
            </w:r>
            <w:r>
              <w:rPr>
                <w:sz w:val="18"/>
              </w:rPr>
              <w:t>Risk Phosphorus Zones where the risk of phosphorus loss to surface water from overland flow is elevated;</w:t>
            </w:r>
            <w:r>
              <w:rPr>
                <w:spacing w:val="-1"/>
                <w:sz w:val="18"/>
              </w:rPr>
              <w:t> </w:t>
            </w:r>
            <w:r>
              <w:rPr>
                <w:sz w:val="18"/>
              </w:rPr>
              <w:t>and</w:t>
            </w:r>
          </w:p>
          <w:p>
            <w:pPr>
              <w:pStyle w:val="TableParagraph"/>
              <w:numPr>
                <w:ilvl w:val="0"/>
                <w:numId w:val="12"/>
              </w:numPr>
              <w:tabs>
                <w:tab w:pos="430" w:val="left" w:leader="none"/>
              </w:tabs>
              <w:spacing w:line="240" w:lineRule="auto" w:before="0" w:after="0"/>
              <w:ind w:left="465" w:right="167" w:hanging="358"/>
              <w:jc w:val="left"/>
              <w:rPr>
                <w:sz w:val="18"/>
              </w:rPr>
            </w:pPr>
            <w:r>
              <w:rPr>
                <w:sz w:val="18"/>
              </w:rPr>
              <w:t>requiring any application for resource consent for a farming activity that is located within a Phosphorus Risk Zone to identify within the Farm Environment Plan the critical areas for phosphorus loss;</w:t>
            </w:r>
            <w:r>
              <w:rPr>
                <w:spacing w:val="-8"/>
                <w:sz w:val="18"/>
              </w:rPr>
              <w:t> </w:t>
            </w:r>
            <w:r>
              <w:rPr>
                <w:sz w:val="18"/>
              </w:rPr>
              <w:t>and</w:t>
            </w:r>
          </w:p>
          <w:p>
            <w:pPr>
              <w:pStyle w:val="TableParagraph"/>
              <w:numPr>
                <w:ilvl w:val="0"/>
                <w:numId w:val="12"/>
              </w:numPr>
              <w:tabs>
                <w:tab w:pos="420" w:val="left" w:leader="none"/>
              </w:tabs>
              <w:spacing w:line="240" w:lineRule="auto" w:before="0" w:after="0"/>
              <w:ind w:left="465" w:right="427" w:hanging="358"/>
              <w:jc w:val="left"/>
              <w:rPr>
                <w:sz w:val="18"/>
              </w:rPr>
            </w:pPr>
            <w:r>
              <w:rPr>
                <w:sz w:val="18"/>
              </w:rPr>
              <w:t>requiring Farm Environment Plans to set out</w:t>
            </w:r>
            <w:r>
              <w:rPr>
                <w:spacing w:val="-19"/>
                <w:sz w:val="18"/>
              </w:rPr>
              <w:t> </w:t>
            </w:r>
            <w:r>
              <w:rPr>
                <w:sz w:val="18"/>
              </w:rPr>
              <w:t>the actions that will be implemented to minimise phosphorus and sediment</w:t>
            </w:r>
            <w:r>
              <w:rPr>
                <w:spacing w:val="-3"/>
                <w:sz w:val="18"/>
              </w:rPr>
              <w:t> </w:t>
            </w:r>
            <w:r>
              <w:rPr>
                <w:sz w:val="18"/>
              </w:rPr>
              <w:t>loss.</w:t>
            </w:r>
          </w:p>
        </w:tc>
        <w:tc>
          <w:tcPr>
            <w:tcW w:w="2835" w:type="dxa"/>
          </w:tcPr>
          <w:p>
            <w:pPr>
              <w:pStyle w:val="TableParagraph"/>
              <w:spacing w:before="5"/>
              <w:rPr>
                <w:sz w:val="18"/>
              </w:rPr>
            </w:pPr>
          </w:p>
          <w:p>
            <w:pPr>
              <w:pStyle w:val="TableParagraph"/>
              <w:tabs>
                <w:tab w:pos="897" w:val="left" w:leader="none"/>
                <w:tab w:pos="1727" w:val="left" w:leader="none"/>
              </w:tabs>
              <w:spacing w:before="1"/>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3230" w:hRule="atLeast"/>
        </w:trPr>
        <w:tc>
          <w:tcPr>
            <w:tcW w:w="740" w:type="dxa"/>
          </w:tcPr>
          <w:p>
            <w:pPr>
              <w:pStyle w:val="TableParagraph"/>
              <w:spacing w:before="119"/>
              <w:ind w:left="89" w:right="249"/>
              <w:jc w:val="center"/>
              <w:rPr>
                <w:sz w:val="18"/>
              </w:rPr>
            </w:pPr>
            <w:r>
              <w:rPr>
                <w:sz w:val="18"/>
              </w:rPr>
              <w:t>4.41</w:t>
            </w:r>
          </w:p>
        </w:tc>
        <w:tc>
          <w:tcPr>
            <w:tcW w:w="4678" w:type="dxa"/>
          </w:tcPr>
          <w:p>
            <w:pPr>
              <w:pStyle w:val="TableParagraph"/>
              <w:spacing w:before="119"/>
              <w:ind w:left="107" w:right="139"/>
              <w:rPr>
                <w:sz w:val="18"/>
              </w:rPr>
            </w:pPr>
            <w:r>
              <w:rPr>
                <w:sz w:val="18"/>
              </w:rPr>
              <w:t>Applications for resource consents for farming activities will be accompanied by a Farm Environment Plan that has been prepared in accordance with Schedule 7 and the conditions of any resource consent granted will specify:</w:t>
            </w:r>
          </w:p>
          <w:p>
            <w:pPr>
              <w:pStyle w:val="TableParagraph"/>
              <w:numPr>
                <w:ilvl w:val="0"/>
                <w:numId w:val="13"/>
              </w:numPr>
              <w:tabs>
                <w:tab w:pos="468" w:val="left" w:leader="none"/>
              </w:tabs>
              <w:spacing w:line="240" w:lineRule="auto" w:before="120" w:after="0"/>
              <w:ind w:left="467" w:right="360" w:hanging="360"/>
              <w:jc w:val="left"/>
              <w:rPr>
                <w:sz w:val="18"/>
              </w:rPr>
            </w:pPr>
            <w:r>
              <w:rPr>
                <w:sz w:val="18"/>
              </w:rPr>
              <w:t>procedures and criteria for the timely review</w:t>
            </w:r>
            <w:r>
              <w:rPr>
                <w:spacing w:val="-22"/>
                <w:sz w:val="18"/>
              </w:rPr>
              <w:t> </w:t>
            </w:r>
            <w:r>
              <w:rPr>
                <w:sz w:val="18"/>
              </w:rPr>
              <w:t>and updating of the Farm Environment Plan;</w:t>
            </w:r>
            <w:r>
              <w:rPr>
                <w:spacing w:val="-7"/>
                <w:sz w:val="18"/>
              </w:rPr>
              <w:t> </w:t>
            </w:r>
            <w:r>
              <w:rPr>
                <w:sz w:val="18"/>
              </w:rPr>
              <w:t>and</w:t>
            </w:r>
          </w:p>
          <w:p>
            <w:pPr>
              <w:pStyle w:val="TableParagraph"/>
              <w:numPr>
                <w:ilvl w:val="0"/>
                <w:numId w:val="13"/>
              </w:numPr>
              <w:tabs>
                <w:tab w:pos="468" w:val="left" w:leader="none"/>
              </w:tabs>
              <w:spacing w:line="240" w:lineRule="auto" w:before="1" w:after="0"/>
              <w:ind w:left="467" w:right="179" w:hanging="360"/>
              <w:jc w:val="left"/>
              <w:rPr>
                <w:sz w:val="18"/>
              </w:rPr>
            </w:pPr>
            <w:r>
              <w:rPr>
                <w:sz w:val="18"/>
              </w:rPr>
              <w:t>a requirement to meaningfully implement the</w:t>
            </w:r>
            <w:r>
              <w:rPr>
                <w:spacing w:val="-22"/>
                <w:sz w:val="18"/>
              </w:rPr>
              <w:t> </w:t>
            </w:r>
            <w:r>
              <w:rPr>
                <w:sz w:val="18"/>
              </w:rPr>
              <w:t>Farm Environment Plan;</w:t>
            </w:r>
            <w:r>
              <w:rPr>
                <w:spacing w:val="-2"/>
                <w:sz w:val="18"/>
              </w:rPr>
              <w:t> </w:t>
            </w:r>
            <w:r>
              <w:rPr>
                <w:sz w:val="18"/>
              </w:rPr>
              <w:t>and</w:t>
            </w:r>
          </w:p>
          <w:p>
            <w:pPr>
              <w:pStyle w:val="TableParagraph"/>
              <w:numPr>
                <w:ilvl w:val="0"/>
                <w:numId w:val="13"/>
              </w:numPr>
              <w:tabs>
                <w:tab w:pos="468" w:val="left" w:leader="none"/>
              </w:tabs>
              <w:spacing w:line="206" w:lineRule="exact" w:before="0" w:after="0"/>
              <w:ind w:left="467" w:right="0" w:hanging="360"/>
              <w:jc w:val="left"/>
              <w:rPr>
                <w:sz w:val="18"/>
              </w:rPr>
            </w:pPr>
            <w:r>
              <w:rPr>
                <w:sz w:val="18"/>
              </w:rPr>
              <w:t>monitoring and information provision;</w:t>
            </w:r>
            <w:r>
              <w:rPr>
                <w:spacing w:val="-6"/>
                <w:sz w:val="18"/>
              </w:rPr>
              <w:t> </w:t>
            </w:r>
            <w:r>
              <w:rPr>
                <w:sz w:val="18"/>
              </w:rPr>
              <w:t>and</w:t>
            </w:r>
          </w:p>
          <w:p>
            <w:pPr>
              <w:pStyle w:val="TableParagraph"/>
              <w:numPr>
                <w:ilvl w:val="0"/>
                <w:numId w:val="13"/>
              </w:numPr>
              <w:tabs>
                <w:tab w:pos="468" w:val="left" w:leader="none"/>
              </w:tabs>
              <w:spacing w:line="240" w:lineRule="auto" w:before="2" w:after="0"/>
              <w:ind w:left="467" w:right="366" w:hanging="360"/>
              <w:jc w:val="left"/>
              <w:rPr>
                <w:sz w:val="18"/>
              </w:rPr>
            </w:pPr>
            <w:r>
              <w:rPr>
                <w:sz w:val="18"/>
              </w:rPr>
              <w:t>requirements for the independent auditing of the Farm Environment Plan and the remedying of compliance issues raised in the audit;</w:t>
            </w:r>
            <w:r>
              <w:rPr>
                <w:spacing w:val="-7"/>
                <w:sz w:val="18"/>
              </w:rPr>
              <w:t> </w:t>
            </w:r>
            <w:r>
              <w:rPr>
                <w:sz w:val="18"/>
              </w:rPr>
              <w:t>and</w:t>
            </w:r>
          </w:p>
          <w:p>
            <w:pPr>
              <w:pStyle w:val="TableParagraph"/>
              <w:numPr>
                <w:ilvl w:val="0"/>
                <w:numId w:val="13"/>
              </w:numPr>
              <w:tabs>
                <w:tab w:pos="468" w:val="left" w:leader="none"/>
              </w:tabs>
              <w:spacing w:line="205" w:lineRule="exact" w:before="0" w:after="0"/>
              <w:ind w:left="467" w:right="0" w:hanging="360"/>
              <w:jc w:val="left"/>
              <w:rPr>
                <w:sz w:val="18"/>
              </w:rPr>
            </w:pPr>
            <w:r>
              <w:rPr>
                <w:sz w:val="18"/>
              </w:rPr>
              <w:t>the timing of any subsequent</w:t>
            </w:r>
            <w:r>
              <w:rPr>
                <w:spacing w:val="-6"/>
                <w:sz w:val="18"/>
              </w:rPr>
              <w:t> </w:t>
            </w:r>
            <w:r>
              <w:rPr>
                <w:sz w:val="18"/>
              </w:rPr>
              <w:t>audits.</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3552" w:hRule="atLeast"/>
        </w:trPr>
        <w:tc>
          <w:tcPr>
            <w:tcW w:w="740" w:type="dxa"/>
          </w:tcPr>
          <w:p>
            <w:pPr>
              <w:pStyle w:val="TableParagraph"/>
              <w:spacing w:before="119"/>
              <w:ind w:left="78" w:right="118"/>
              <w:jc w:val="center"/>
              <w:rPr>
                <w:sz w:val="18"/>
              </w:rPr>
            </w:pPr>
            <w:r>
              <w:rPr>
                <w:sz w:val="18"/>
              </w:rPr>
              <w:t>4.41A</w:t>
            </w:r>
          </w:p>
        </w:tc>
        <w:tc>
          <w:tcPr>
            <w:tcW w:w="4678" w:type="dxa"/>
          </w:tcPr>
          <w:p>
            <w:pPr>
              <w:pStyle w:val="TableParagraph"/>
              <w:spacing w:before="119"/>
              <w:ind w:left="107" w:right="178"/>
              <w:rPr>
                <w:sz w:val="18"/>
              </w:rPr>
            </w:pPr>
            <w:r>
              <w:rPr>
                <w:sz w:val="18"/>
              </w:rPr>
              <w:t>The contribution that the preparation of accurate nutrient budgets and Farm Environment Plans make to the attainment of the water quality outcomes is recognised by:</w:t>
            </w:r>
          </w:p>
          <w:p>
            <w:pPr>
              <w:pStyle w:val="TableParagraph"/>
              <w:numPr>
                <w:ilvl w:val="0"/>
                <w:numId w:val="14"/>
              </w:numPr>
              <w:tabs>
                <w:tab w:pos="468" w:val="left" w:leader="none"/>
              </w:tabs>
              <w:spacing w:line="240" w:lineRule="auto" w:before="120" w:after="0"/>
              <w:ind w:left="467" w:right="247" w:hanging="360"/>
              <w:jc w:val="left"/>
              <w:rPr>
                <w:sz w:val="18"/>
              </w:rPr>
            </w:pPr>
            <w:r>
              <w:rPr>
                <w:sz w:val="18"/>
              </w:rPr>
              <w:t>requiring the preparation of nutrient budgets in accordance with the Overseer Best Practice Input Standards;</w:t>
            </w:r>
            <w:r>
              <w:rPr>
                <w:spacing w:val="-3"/>
                <w:sz w:val="18"/>
              </w:rPr>
              <w:t> </w:t>
            </w:r>
            <w:r>
              <w:rPr>
                <w:sz w:val="18"/>
              </w:rPr>
              <w:t>and</w:t>
            </w:r>
          </w:p>
          <w:p>
            <w:pPr>
              <w:pStyle w:val="TableParagraph"/>
              <w:numPr>
                <w:ilvl w:val="0"/>
                <w:numId w:val="14"/>
              </w:numPr>
              <w:tabs>
                <w:tab w:pos="468" w:val="left" w:leader="none"/>
              </w:tabs>
              <w:spacing w:line="240" w:lineRule="auto" w:before="0" w:after="0"/>
              <w:ind w:left="467" w:right="327" w:hanging="360"/>
              <w:jc w:val="left"/>
              <w:rPr>
                <w:sz w:val="18"/>
              </w:rPr>
            </w:pPr>
            <w:r>
              <w:rPr>
                <w:sz w:val="18"/>
              </w:rPr>
              <w:t>applying to any nutrient budget that forms part</w:t>
            </w:r>
            <w:r>
              <w:rPr>
                <w:spacing w:val="-21"/>
                <w:sz w:val="18"/>
              </w:rPr>
              <w:t> </w:t>
            </w:r>
            <w:r>
              <w:rPr>
                <w:sz w:val="18"/>
              </w:rPr>
              <w:t>of an application for resource consent a level of scrutiny that is proportional to the qualifications, experience and performance of the person who prepared the budget;</w:t>
            </w:r>
            <w:r>
              <w:rPr>
                <w:spacing w:val="-1"/>
                <w:sz w:val="18"/>
              </w:rPr>
              <w:t> </w:t>
            </w:r>
            <w:r>
              <w:rPr>
                <w:sz w:val="18"/>
              </w:rPr>
              <w:t>and</w:t>
            </w:r>
          </w:p>
          <w:p>
            <w:pPr>
              <w:pStyle w:val="TableParagraph"/>
              <w:numPr>
                <w:ilvl w:val="0"/>
                <w:numId w:val="14"/>
              </w:numPr>
              <w:tabs>
                <w:tab w:pos="468" w:val="left" w:leader="none"/>
              </w:tabs>
              <w:spacing w:line="206" w:lineRule="exact" w:before="4" w:after="0"/>
              <w:ind w:left="467" w:right="230" w:hanging="360"/>
              <w:jc w:val="left"/>
              <w:rPr>
                <w:sz w:val="18"/>
              </w:rPr>
            </w:pPr>
            <w:r>
              <w:rPr>
                <w:sz w:val="18"/>
              </w:rPr>
              <w:t>providing a controlled activity consent pathway</w:t>
            </w:r>
            <w:r>
              <w:rPr>
                <w:spacing w:val="-24"/>
                <w:sz w:val="18"/>
              </w:rPr>
              <w:t> </w:t>
            </w:r>
            <w:r>
              <w:rPr>
                <w:sz w:val="18"/>
              </w:rPr>
              <w:t>for resource consent applications that have been prepared or reviewed by an Accredited Farm Consultant</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r>
        <w:trPr>
          <w:trHeight w:val="3964" w:hRule="atLeast"/>
        </w:trPr>
        <w:tc>
          <w:tcPr>
            <w:tcW w:w="740" w:type="dxa"/>
          </w:tcPr>
          <w:p>
            <w:pPr>
              <w:pStyle w:val="TableParagraph"/>
              <w:spacing w:before="119"/>
              <w:ind w:left="78" w:right="118"/>
              <w:jc w:val="center"/>
              <w:rPr>
                <w:sz w:val="18"/>
              </w:rPr>
            </w:pPr>
            <w:r>
              <w:rPr>
                <w:sz w:val="18"/>
              </w:rPr>
              <w:t>4.41B</w:t>
            </w:r>
          </w:p>
        </w:tc>
        <w:tc>
          <w:tcPr>
            <w:tcW w:w="4678" w:type="dxa"/>
          </w:tcPr>
          <w:p>
            <w:pPr>
              <w:pStyle w:val="TableParagraph"/>
              <w:spacing w:before="119"/>
              <w:ind w:left="107" w:right="178"/>
              <w:rPr>
                <w:sz w:val="18"/>
              </w:rPr>
            </w:pPr>
            <w:r>
              <w:rPr>
                <w:sz w:val="18"/>
              </w:rPr>
              <w:t>Attainment of the water quality outcomes for the region are enhanced through the implementation of good management practice and by:</w:t>
            </w:r>
          </w:p>
          <w:p>
            <w:pPr>
              <w:pStyle w:val="TableParagraph"/>
              <w:numPr>
                <w:ilvl w:val="0"/>
                <w:numId w:val="15"/>
              </w:numPr>
              <w:tabs>
                <w:tab w:pos="468" w:val="left" w:leader="none"/>
              </w:tabs>
              <w:spacing w:line="207" w:lineRule="exact" w:before="121" w:after="0"/>
              <w:ind w:left="467" w:right="0" w:hanging="360"/>
              <w:jc w:val="left"/>
              <w:rPr>
                <w:sz w:val="18"/>
              </w:rPr>
            </w:pPr>
            <w:r>
              <w:rPr>
                <w:sz w:val="18"/>
              </w:rPr>
              <w:t>the use of an audit grade as the measure of</w:t>
            </w:r>
            <w:r>
              <w:rPr>
                <w:spacing w:val="-13"/>
                <w:sz w:val="18"/>
              </w:rPr>
              <w:t> </w:t>
            </w:r>
            <w:r>
              <w:rPr>
                <w:sz w:val="18"/>
              </w:rPr>
              <w:t>a</w:t>
            </w:r>
          </w:p>
          <w:p>
            <w:pPr>
              <w:pStyle w:val="TableParagraph"/>
              <w:ind w:left="467" w:right="79"/>
              <w:rPr>
                <w:sz w:val="18"/>
              </w:rPr>
            </w:pPr>
            <w:r>
              <w:rPr>
                <w:sz w:val="18"/>
              </w:rPr>
              <w:t>farming activity’s overall performance relative to the objectives, targets and actions in the Farm Environment Plan, and the Good Management Practices and Good Management Practice Loss Rates; and</w:t>
            </w:r>
          </w:p>
          <w:p>
            <w:pPr>
              <w:pStyle w:val="TableParagraph"/>
              <w:numPr>
                <w:ilvl w:val="0"/>
                <w:numId w:val="15"/>
              </w:numPr>
              <w:tabs>
                <w:tab w:pos="468" w:val="left" w:leader="none"/>
              </w:tabs>
              <w:spacing w:line="240" w:lineRule="auto" w:before="0" w:after="0"/>
              <w:ind w:left="467" w:right="108" w:hanging="360"/>
              <w:jc w:val="left"/>
              <w:rPr>
                <w:sz w:val="18"/>
              </w:rPr>
            </w:pPr>
            <w:r>
              <w:rPr>
                <w:sz w:val="18"/>
              </w:rPr>
              <w:t>the use of audit grades as the basis for</w:t>
            </w:r>
            <w:r>
              <w:rPr>
                <w:spacing w:val="-21"/>
                <w:sz w:val="18"/>
              </w:rPr>
              <w:t> </w:t>
            </w:r>
            <w:r>
              <w:rPr>
                <w:sz w:val="18"/>
              </w:rPr>
              <w:t>determining compliance and the frequency of any future audits; and</w:t>
            </w:r>
          </w:p>
          <w:p>
            <w:pPr>
              <w:pStyle w:val="TableParagraph"/>
              <w:numPr>
                <w:ilvl w:val="0"/>
                <w:numId w:val="15"/>
              </w:numPr>
              <w:tabs>
                <w:tab w:pos="468" w:val="left" w:leader="none"/>
              </w:tabs>
              <w:spacing w:line="240" w:lineRule="auto" w:before="0" w:after="0"/>
              <w:ind w:left="467" w:right="417" w:hanging="360"/>
              <w:jc w:val="both"/>
              <w:rPr>
                <w:sz w:val="18"/>
              </w:rPr>
            </w:pPr>
            <w:r>
              <w:rPr>
                <w:sz w:val="18"/>
              </w:rPr>
              <w:t>requiring the completion of corrective actions </w:t>
            </w:r>
            <w:r>
              <w:rPr>
                <w:spacing w:val="2"/>
                <w:sz w:val="18"/>
              </w:rPr>
              <w:t>to </w:t>
            </w:r>
            <w:r>
              <w:rPr>
                <w:sz w:val="18"/>
              </w:rPr>
              <w:t>address non-compliances identified in the Farm Environment Plan audit;</w:t>
            </w:r>
            <w:r>
              <w:rPr>
                <w:spacing w:val="-1"/>
                <w:sz w:val="18"/>
              </w:rPr>
              <w:t> </w:t>
            </w:r>
            <w:r>
              <w:rPr>
                <w:sz w:val="18"/>
              </w:rPr>
              <w:t>and</w:t>
            </w:r>
          </w:p>
          <w:p>
            <w:pPr>
              <w:pStyle w:val="TableParagraph"/>
              <w:numPr>
                <w:ilvl w:val="0"/>
                <w:numId w:val="15"/>
              </w:numPr>
              <w:tabs>
                <w:tab w:pos="468" w:val="left" w:leader="none"/>
              </w:tabs>
              <w:spacing w:line="205" w:lineRule="exact" w:before="0" w:after="0"/>
              <w:ind w:left="467" w:right="0" w:hanging="360"/>
              <w:jc w:val="left"/>
              <w:rPr>
                <w:sz w:val="18"/>
              </w:rPr>
            </w:pPr>
            <w:r>
              <w:rPr>
                <w:sz w:val="18"/>
              </w:rPr>
              <w:t>the use of a Certified Farm Environment</w:t>
            </w:r>
            <w:r>
              <w:rPr>
                <w:spacing w:val="-5"/>
                <w:sz w:val="18"/>
              </w:rPr>
              <w:t> </w:t>
            </w:r>
            <w:r>
              <w:rPr>
                <w:sz w:val="18"/>
              </w:rPr>
              <w:t>Plan</w:t>
            </w:r>
          </w:p>
          <w:p>
            <w:pPr>
              <w:pStyle w:val="TableParagraph"/>
              <w:spacing w:line="206" w:lineRule="exact" w:before="6"/>
              <w:ind w:left="467" w:right="159"/>
              <w:rPr>
                <w:sz w:val="18"/>
              </w:rPr>
            </w:pPr>
            <w:r>
              <w:rPr>
                <w:sz w:val="18"/>
              </w:rPr>
              <w:t>Auditor to assess a farming activity’s performance; and</w:t>
            </w:r>
          </w:p>
        </w:tc>
        <w:tc>
          <w:tcPr>
            <w:tcW w:w="2835" w:type="dxa"/>
          </w:tcPr>
          <w:p>
            <w:pPr>
              <w:pStyle w:val="TableParagraph"/>
              <w:spacing w:before="3"/>
              <w:rPr>
                <w:sz w:val="18"/>
              </w:rPr>
            </w:pPr>
          </w:p>
          <w:p>
            <w:pPr>
              <w:pStyle w:val="TableParagraph"/>
              <w:tabs>
                <w:tab w:pos="897" w:val="left" w:leader="none"/>
                <w:tab w:pos="1727" w:val="left" w:leader="none"/>
              </w:tabs>
              <w:ind w:right="298"/>
              <w:jc w:val="right"/>
              <w:rPr>
                <w:sz w:val="18"/>
              </w:rPr>
            </w:pPr>
            <w:r>
              <w:rPr>
                <w:sz w:val="18"/>
              </w:rPr>
              <w:t>Yes</w:t>
              <w:tab/>
              <w:t>No</w:t>
              <w:tab/>
              <w:t>N/A</w:t>
            </w:r>
          </w:p>
        </w:tc>
        <w:tc>
          <w:tcPr>
            <w:tcW w:w="2552" w:type="dxa"/>
          </w:tcPr>
          <w:p>
            <w:pPr>
              <w:pStyle w:val="TableParagraph"/>
              <w:rPr>
                <w:rFonts w:ascii="Times New Roman"/>
                <w:sz w:val="18"/>
              </w:rPr>
            </w:pPr>
          </w:p>
        </w:tc>
      </w:tr>
    </w:tbl>
    <w:p>
      <w:pPr>
        <w:spacing w:after="0"/>
        <w:rPr>
          <w:rFonts w:ascii="Times New Roman"/>
          <w:sz w:val="18"/>
        </w:rPr>
        <w:sectPr>
          <w:pgSz w:w="11910" w:h="16850"/>
          <w:pgMar w:header="0" w:footer="962" w:top="880" w:bottom="1160" w:left="140" w:right="200"/>
        </w:sectPr>
      </w:pPr>
    </w:p>
    <w:p>
      <w:pPr>
        <w:pStyle w:val="BodyText"/>
        <w:tabs>
          <w:tab w:pos="6670" w:val="left" w:leader="none"/>
          <w:tab w:pos="10203" w:val="left" w:leader="none"/>
        </w:tabs>
        <w:spacing w:before="85"/>
        <w:ind w:left="426"/>
      </w:pPr>
      <w:r>
        <w:rPr/>
        <w:pict>
          <v:rect style="position:absolute;margin-left:302.809998pt;margin-top:279.169983pt;width:13.8pt;height:13.8pt;mso-position-horizontal-relative:page;mso-position-vertical-relative:page;z-index:-42016" filled="false" stroked="true" strokeweight=".72pt" strokecolor="#000000">
            <v:stroke dashstyle="solid"/>
            <w10:wrap type="none"/>
          </v:rect>
        </w:pict>
      </w:r>
      <w:r>
        <w:rPr/>
        <w:pict>
          <v:rect style="position:absolute;margin-left:347.709991pt;margin-top:279.169983pt;width:13.8pt;height:13.8pt;mso-position-horizontal-relative:page;mso-position-vertical-relative:page;z-index:-41992" filled="false" stroked="true" strokeweight=".72pt" strokecolor="#000000">
            <v:stroke dashstyle="solid"/>
            <w10:wrap type="none"/>
          </v:rect>
        </w:pict>
      </w:r>
      <w:r>
        <w:rPr/>
        <w:pict>
          <v:rect style="position:absolute;margin-left:388.630005pt;margin-top:279.169983pt;width:13.8pt;height:13.8pt;mso-position-horizontal-relative:page;mso-position-vertical-relative:page;z-index:-41968" filled="false" stroked="true" strokeweight=".72pt" strokecolor="#000000">
            <v:stroke dashstyle="solid"/>
            <w10:wrap type="none"/>
          </v:rect>
        </w:pict>
      </w:r>
      <w:r>
        <w:rPr/>
        <w:pict>
          <v:rect style="position:absolute;margin-left:302.809998pt;margin-top:340.969971pt;width:13.8pt;height:13.8pt;mso-position-horizontal-relative:page;mso-position-vertical-relative:page;z-index:-41944" filled="false" stroked="true" strokeweight=".72pt" strokecolor="#000000">
            <v:stroke dashstyle="solid"/>
            <w10:wrap type="none"/>
          </v:rect>
        </w:pict>
      </w:r>
      <w:r>
        <w:rPr/>
        <w:pict>
          <v:rect style="position:absolute;margin-left:347.709991pt;margin-top:340.969971pt;width:13.8pt;height:13.8pt;mso-position-horizontal-relative:page;mso-position-vertical-relative:page;z-index:-41920" filled="false" stroked="true" strokeweight=".72pt" strokecolor="#000000">
            <v:stroke dashstyle="solid"/>
            <w10:wrap type="none"/>
          </v:rect>
        </w:pict>
      </w:r>
      <w:r>
        <w:rPr/>
        <w:pict>
          <v:rect style="position:absolute;margin-left:388.630005pt;margin-top:340.969971pt;width:13.8pt;height:13.8pt;mso-position-horizontal-relative:page;mso-position-vertical-relative:page;z-index:-41896" filled="false" stroked="true" strokeweight=".72pt" strokecolor="#000000">
            <v:stroke dashstyle="solid"/>
            <w10:wrap type="none"/>
          </v:rect>
        </w:pict>
      </w:r>
      <w:r>
        <w:rPr/>
        <w:pict>
          <v:rect style="position:absolute;margin-left:302.809998pt;margin-top:388.009979pt;width:13.8pt;height:13.8pt;mso-position-horizontal-relative:page;mso-position-vertical-relative:page;z-index:-41872" filled="false" stroked="true" strokeweight=".72pt" strokecolor="#000000">
            <v:stroke dashstyle="solid"/>
            <w10:wrap type="none"/>
          </v:rect>
        </w:pict>
      </w:r>
      <w:r>
        <w:rPr/>
        <w:pict>
          <v:rect style="position:absolute;margin-left:347.709991pt;margin-top:388.009979pt;width:13.8pt;height:13.8pt;mso-position-horizontal-relative:page;mso-position-vertical-relative:page;z-index:-41848" filled="false" stroked="true" strokeweight=".72pt" strokecolor="#000000">
            <v:stroke dashstyle="solid"/>
            <w10:wrap type="none"/>
          </v:rect>
        </w:pict>
      </w:r>
      <w:r>
        <w:rPr/>
        <w:pict>
          <v:rect style="position:absolute;margin-left:388.630005pt;margin-top:388.009979pt;width:13.8pt;height:13.8pt;mso-position-horizontal-relative:page;mso-position-vertical-relative:page;z-index:-41824" filled="false" stroked="true" strokeweight=".72pt" strokecolor="#000000">
            <v:stroke dashstyle="solid"/>
            <w10:wrap type="none"/>
          </v:rect>
        </w:pict>
      </w:r>
      <w:r>
        <w:rPr/>
        <w:pict>
          <v:rect style="position:absolute;margin-left:302.809998pt;margin-top:434.205963pt;width:13.8pt;height:13.824pt;mso-position-horizontal-relative:page;mso-position-vertical-relative:page;z-index:-41800" filled="false" stroked="true" strokeweight=".72pt" strokecolor="#000000">
            <v:stroke dashstyle="solid"/>
            <w10:wrap type="none"/>
          </v:rect>
        </w:pict>
      </w:r>
      <w:r>
        <w:rPr/>
        <w:pict>
          <v:rect style="position:absolute;margin-left:347.709991pt;margin-top:434.205963pt;width:13.8pt;height:13.824pt;mso-position-horizontal-relative:page;mso-position-vertical-relative:page;z-index:-41776" filled="false" stroked="true" strokeweight=".72pt" strokecolor="#000000">
            <v:stroke dashstyle="solid"/>
            <w10:wrap type="none"/>
          </v:rect>
        </w:pict>
      </w:r>
      <w:r>
        <w:rPr/>
        <w:pict>
          <v:rect style="position:absolute;margin-left:388.630005pt;margin-top:434.205963pt;width:13.8pt;height:13.824pt;mso-position-horizontal-relative:page;mso-position-vertical-relative:page;z-index:-41752" filled="false" stroked="true" strokeweight=".72pt" strokecolor="#000000">
            <v:stroke dashstyle="solid"/>
            <w10:wrap type="none"/>
          </v:rect>
        </w:pict>
      </w:r>
      <w:r>
        <w:rPr/>
        <w:pict>
          <v:rect style="position:absolute;margin-left:302.809998pt;margin-top:536.709961pt;width:13.8pt;height:13.8pt;mso-position-horizontal-relative:page;mso-position-vertical-relative:page;z-index:-41728" filled="false" stroked="true" strokeweight=".72pt" strokecolor="#000000">
            <v:stroke dashstyle="solid"/>
            <w10:wrap type="none"/>
          </v:rect>
        </w:pict>
      </w:r>
      <w:r>
        <w:rPr/>
        <w:pict>
          <v:rect style="position:absolute;margin-left:347.709991pt;margin-top:536.709961pt;width:13.8pt;height:13.8pt;mso-position-horizontal-relative:page;mso-position-vertical-relative:page;z-index:-41704" filled="false" stroked="true" strokeweight=".72pt" strokecolor="#000000">
            <v:stroke dashstyle="solid"/>
            <w10:wrap type="none"/>
          </v:rect>
        </w:pict>
      </w:r>
      <w:r>
        <w:rPr/>
        <w:pict>
          <v:rect style="position:absolute;margin-left:388.630005pt;margin-top:536.709961pt;width:13.8pt;height:13.8pt;mso-position-horizontal-relative:page;mso-position-vertical-relative:page;z-index:-41680" filled="false" stroked="true" strokeweight=".72pt" strokecolor="#000000">
            <v:stroke dashstyle="solid"/>
            <w10:wrap type="none"/>
          </v:rect>
        </w:pict>
      </w:r>
      <w:r>
        <w:rPr/>
        <w:pict>
          <v:rect style="position:absolute;margin-left:302.809998pt;margin-top:583.389954pt;width:13.8pt;height:13.8pt;mso-position-horizontal-relative:page;mso-position-vertical-relative:page;z-index:-41656" filled="false" stroked="true" strokeweight=".72pt" strokecolor="#000000">
            <v:stroke dashstyle="solid"/>
            <w10:wrap type="none"/>
          </v:rect>
        </w:pict>
      </w:r>
      <w:r>
        <w:rPr/>
        <w:pict>
          <v:rect style="position:absolute;margin-left:347.709991pt;margin-top:583.389954pt;width:13.8pt;height:13.8pt;mso-position-horizontal-relative:page;mso-position-vertical-relative:page;z-index:-41632" filled="false" stroked="true" strokeweight=".72pt" strokecolor="#000000">
            <v:stroke dashstyle="solid"/>
            <w10:wrap type="none"/>
          </v:rect>
        </w:pict>
      </w:r>
      <w:r>
        <w:rPr/>
        <w:pict>
          <v:rect style="position:absolute;margin-left:388.630005pt;margin-top:583.389954pt;width:13.8pt;height:13.8pt;mso-position-horizontal-relative:page;mso-position-vertical-relative:page;z-index:-41608" filled="false" stroked="true" strokeweight=".72pt" strokecolor="#000000">
            <v:stroke dashstyle="solid"/>
            <w10:wrap type="none"/>
          </v:rect>
        </w:pict>
      </w:r>
      <w:r>
        <w:rPr/>
        <w:pict>
          <v:rect style="position:absolute;margin-left:302.809998pt;margin-top:625.779968pt;width:13.8pt;height:13.8pt;mso-position-horizontal-relative:page;mso-position-vertical-relative:page;z-index:-41584" filled="false" stroked="true" strokeweight=".72pt" strokecolor="#000000">
            <v:stroke dashstyle="solid"/>
            <w10:wrap type="none"/>
          </v:rect>
        </w:pict>
      </w:r>
      <w:r>
        <w:rPr/>
        <w:pict>
          <v:rect style="position:absolute;margin-left:347.709991pt;margin-top:625.779968pt;width:13.8pt;height:13.8pt;mso-position-horizontal-relative:page;mso-position-vertical-relative:page;z-index:-41560" filled="false" stroked="true" strokeweight=".72pt" strokecolor="#000000">
            <v:stroke dashstyle="solid"/>
            <w10:wrap type="none"/>
          </v:rect>
        </w:pict>
      </w:r>
      <w:r>
        <w:rPr/>
        <w:pict>
          <v:rect style="position:absolute;margin-left:388.630005pt;margin-top:625.779968pt;width:13.8pt;height:13.8pt;mso-position-horizontal-relative:page;mso-position-vertical-relative:page;z-index:-41536" filled="false" stroked="true" strokeweight=".72pt" strokecolor="#000000">
            <v:stroke dashstyle="solid"/>
            <w10:wrap type="none"/>
          </v:rect>
        </w:pict>
      </w:r>
      <w:r>
        <w:rPr/>
        <w:pict>
          <v:rect style="position:absolute;margin-left:302.809998pt;margin-top:675.820007pt;width:13.8pt;height:13.8pt;mso-position-horizontal-relative:page;mso-position-vertical-relative:page;z-index:-41512" filled="false" stroked="true" strokeweight=".72pt" strokecolor="#000000">
            <v:stroke dashstyle="solid"/>
            <w10:wrap type="none"/>
          </v:rect>
        </w:pict>
      </w:r>
      <w:r>
        <w:rPr/>
        <w:pict>
          <v:rect style="position:absolute;margin-left:347.709991pt;margin-top:675.820007pt;width:13.8pt;height:13.8pt;mso-position-horizontal-relative:page;mso-position-vertical-relative:page;z-index:-41488" filled="false" stroked="true" strokeweight=".72pt" strokecolor="#000000">
            <v:stroke dashstyle="solid"/>
            <w10:wrap type="none"/>
          </v:rect>
        </w:pict>
      </w:r>
      <w:r>
        <w:rPr/>
        <w:pict>
          <v:rect style="position:absolute;margin-left:388.630005pt;margin-top:675.820007pt;width:13.8pt;height:13.8pt;mso-position-horizontal-relative:page;mso-position-vertical-relative:page;z-index:-41464" filled="false" stroked="true" strokeweight=".72pt" strokecolor="#000000">
            <v:stroke dashstyle="solid"/>
            <w10:wrap type="none"/>
          </v:rect>
        </w:pict>
      </w:r>
      <w:r>
        <w:rPr/>
        <w:pict>
          <v:rect style="position:absolute;margin-left:302.809998pt;margin-top:725.139954pt;width:13.8pt;height:13.8pt;mso-position-horizontal-relative:page;mso-position-vertical-relative:page;z-index:-41440" filled="false" stroked="true" strokeweight=".72pt" strokecolor="#000000">
            <v:stroke dashstyle="solid"/>
            <w10:wrap type="none"/>
          </v:rect>
        </w:pict>
      </w:r>
      <w:r>
        <w:rPr/>
        <w:pict>
          <v:rect style="position:absolute;margin-left:347.709991pt;margin-top:725.139954pt;width:13.8pt;height:13.8pt;mso-position-horizontal-relative:page;mso-position-vertical-relative:page;z-index:-41416" filled="false" stroked="true" strokeweight=".72pt" strokecolor="#000000">
            <v:stroke dashstyle="solid"/>
            <w10:wrap type="none"/>
          </v:rect>
        </w:pict>
      </w:r>
      <w:r>
        <w:rPr/>
        <w:pict>
          <v:rect style="position:absolute;margin-left:388.630005pt;margin-top:725.139954pt;width:13.8pt;height:13.8pt;mso-position-horizontal-relative:page;mso-position-vertical-relative:page;z-index:-41392" filled="false" stroked="true" strokeweight=".72pt" strokecolor="#000000">
            <v:stroke dashstyle="solid"/>
            <w10:wrap type="none"/>
          </v:rect>
        </w:pict>
      </w:r>
      <w:r>
        <w:rPr/>
        <w:t>APPLICATION TO USE LAND FOR FARMING ACTIVITY IN</w:t>
      </w:r>
      <w:r>
        <w:rPr>
          <w:spacing w:val="-18"/>
        </w:rPr>
        <w:t> </w:t>
      </w:r>
      <w:r>
        <w:rPr/>
        <w:t>ORANGE ZONE</w:t>
        <w:tab/>
        <w:t>PAGE 6</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678"/>
        <w:gridCol w:w="2835"/>
        <w:gridCol w:w="2552"/>
      </w:tblGrid>
      <w:tr>
        <w:trPr>
          <w:trHeight w:val="3057" w:hRule="atLeast"/>
        </w:trPr>
        <w:tc>
          <w:tcPr>
            <w:tcW w:w="740" w:type="dxa"/>
          </w:tcPr>
          <w:p>
            <w:pPr>
              <w:pStyle w:val="TableParagraph"/>
              <w:rPr>
                <w:rFonts w:ascii="Times New Roman"/>
                <w:sz w:val="18"/>
              </w:rPr>
            </w:pPr>
          </w:p>
        </w:tc>
        <w:tc>
          <w:tcPr>
            <w:tcW w:w="4678" w:type="dxa"/>
          </w:tcPr>
          <w:p>
            <w:pPr>
              <w:pStyle w:val="TableParagraph"/>
              <w:numPr>
                <w:ilvl w:val="0"/>
                <w:numId w:val="16"/>
              </w:numPr>
              <w:tabs>
                <w:tab w:pos="468" w:val="left" w:leader="none"/>
              </w:tabs>
              <w:spacing w:line="240" w:lineRule="auto" w:before="1" w:after="0"/>
              <w:ind w:left="467" w:right="173" w:hanging="360"/>
              <w:jc w:val="left"/>
              <w:rPr>
                <w:sz w:val="18"/>
              </w:rPr>
            </w:pPr>
            <w:r>
              <w:rPr>
                <w:sz w:val="18"/>
              </w:rPr>
              <w:t>requiring the nitrogen loss calculation to be prepared using annual input data in circumstances where:</w:t>
            </w:r>
          </w:p>
          <w:p>
            <w:pPr>
              <w:pStyle w:val="TableParagraph"/>
              <w:numPr>
                <w:ilvl w:val="0"/>
                <w:numId w:val="16"/>
              </w:numPr>
              <w:tabs>
                <w:tab w:pos="468" w:val="left" w:leader="none"/>
              </w:tabs>
              <w:spacing w:line="240" w:lineRule="auto" w:before="0" w:after="0"/>
              <w:ind w:left="467" w:right="128" w:hanging="360"/>
              <w:jc w:val="left"/>
              <w:rPr>
                <w:sz w:val="18"/>
              </w:rPr>
            </w:pPr>
            <w:r>
              <w:rPr>
                <w:sz w:val="18"/>
              </w:rPr>
              <w:t>the results of the most recent audit indicate there</w:t>
            </w:r>
            <w:r>
              <w:rPr>
                <w:spacing w:val="-21"/>
                <w:sz w:val="18"/>
              </w:rPr>
              <w:t> </w:t>
            </w:r>
            <w:r>
              <w:rPr>
                <w:sz w:val="18"/>
              </w:rPr>
              <w:t>is a low level of confidence that the objectives in the Farm Environment Plan are being met;</w:t>
            </w:r>
            <w:r>
              <w:rPr>
                <w:spacing w:val="-9"/>
                <w:sz w:val="18"/>
              </w:rPr>
              <w:t> </w:t>
            </w:r>
            <w:r>
              <w:rPr>
                <w:sz w:val="18"/>
              </w:rPr>
              <w:t>or</w:t>
            </w:r>
          </w:p>
          <w:p>
            <w:pPr>
              <w:pStyle w:val="TableParagraph"/>
              <w:numPr>
                <w:ilvl w:val="1"/>
                <w:numId w:val="16"/>
              </w:numPr>
              <w:tabs>
                <w:tab w:pos="1187" w:val="left" w:leader="none"/>
                <w:tab w:pos="1188" w:val="left" w:leader="none"/>
              </w:tabs>
              <w:spacing w:line="240" w:lineRule="auto" w:before="0" w:after="0"/>
              <w:ind w:left="1187" w:right="308" w:hanging="720"/>
              <w:jc w:val="left"/>
              <w:rPr>
                <w:sz w:val="18"/>
              </w:rPr>
            </w:pPr>
            <w:r>
              <w:rPr>
                <w:sz w:val="18"/>
              </w:rPr>
              <w:t>the area of irrigated land has</w:t>
            </w:r>
            <w:r>
              <w:rPr>
                <w:spacing w:val="-15"/>
                <w:sz w:val="18"/>
              </w:rPr>
              <w:t> </w:t>
            </w:r>
            <w:r>
              <w:rPr>
                <w:sz w:val="18"/>
              </w:rPr>
              <w:t>increased, as compared with the area of land that was irrigated at the time of the most recent audit;</w:t>
            </w:r>
            <w:r>
              <w:rPr>
                <w:spacing w:val="-3"/>
                <w:sz w:val="18"/>
              </w:rPr>
              <w:t> </w:t>
            </w:r>
            <w:r>
              <w:rPr>
                <w:sz w:val="18"/>
              </w:rPr>
              <w:t>or</w:t>
            </w:r>
          </w:p>
          <w:p>
            <w:pPr>
              <w:pStyle w:val="TableParagraph"/>
              <w:numPr>
                <w:ilvl w:val="1"/>
                <w:numId w:val="16"/>
              </w:numPr>
              <w:tabs>
                <w:tab w:pos="1187" w:val="left" w:leader="none"/>
                <w:tab w:pos="1188" w:val="left" w:leader="none"/>
              </w:tabs>
              <w:spacing w:line="240" w:lineRule="auto" w:before="0" w:after="0"/>
              <w:ind w:left="1187" w:right="139" w:hanging="720"/>
              <w:jc w:val="left"/>
              <w:rPr>
                <w:sz w:val="18"/>
              </w:rPr>
            </w:pPr>
            <w:r>
              <w:rPr>
                <w:sz w:val="18"/>
              </w:rPr>
              <w:t>the area of land used for winter grazing has increased, as compared with the</w:t>
            </w:r>
            <w:r>
              <w:rPr>
                <w:spacing w:val="-17"/>
                <w:sz w:val="18"/>
              </w:rPr>
              <w:t> </w:t>
            </w:r>
            <w:r>
              <w:rPr>
                <w:sz w:val="18"/>
              </w:rPr>
              <w:t>area of land that was used for winter grazing at the time of the most recent</w:t>
            </w:r>
            <w:r>
              <w:rPr>
                <w:spacing w:val="-7"/>
                <w:sz w:val="18"/>
              </w:rPr>
              <w:t> </w:t>
            </w:r>
            <w:r>
              <w:rPr>
                <w:sz w:val="18"/>
              </w:rPr>
              <w:t>audit.</w:t>
            </w:r>
          </w:p>
        </w:tc>
        <w:tc>
          <w:tcPr>
            <w:tcW w:w="2835" w:type="dxa"/>
          </w:tcPr>
          <w:p>
            <w:pPr>
              <w:pStyle w:val="TableParagraph"/>
              <w:rPr>
                <w:rFonts w:ascii="Times New Roman"/>
                <w:sz w:val="18"/>
              </w:rPr>
            </w:pPr>
          </w:p>
        </w:tc>
        <w:tc>
          <w:tcPr>
            <w:tcW w:w="2552" w:type="dxa"/>
          </w:tcPr>
          <w:p>
            <w:pPr>
              <w:pStyle w:val="TableParagraph"/>
              <w:rPr>
                <w:rFonts w:ascii="Times New Roman"/>
                <w:sz w:val="18"/>
              </w:rPr>
            </w:pPr>
          </w:p>
        </w:tc>
      </w:tr>
    </w:tbl>
    <w:p>
      <w:pPr>
        <w:pStyle w:val="BodyText"/>
        <w:rPr>
          <w:sz w:val="20"/>
        </w:rPr>
      </w:pPr>
    </w:p>
    <w:p>
      <w:pPr>
        <w:pStyle w:val="BodyText"/>
        <w:spacing w:before="1"/>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4649"/>
        <w:gridCol w:w="2693"/>
        <w:gridCol w:w="2976"/>
      </w:tblGrid>
      <w:tr>
        <w:trPr>
          <w:trHeight w:val="453" w:hRule="atLeast"/>
        </w:trPr>
        <w:tc>
          <w:tcPr>
            <w:tcW w:w="5247" w:type="dxa"/>
            <w:gridSpan w:val="2"/>
          </w:tcPr>
          <w:p>
            <w:pPr>
              <w:pStyle w:val="TableParagraph"/>
              <w:spacing w:before="117"/>
              <w:ind w:left="107"/>
              <w:rPr>
                <w:b/>
                <w:sz w:val="18"/>
              </w:rPr>
            </w:pPr>
            <w:r>
              <w:rPr>
                <w:b/>
                <w:sz w:val="18"/>
              </w:rPr>
              <w:t>Objectives</w:t>
            </w:r>
          </w:p>
        </w:tc>
        <w:tc>
          <w:tcPr>
            <w:tcW w:w="2693" w:type="dxa"/>
          </w:tcPr>
          <w:p>
            <w:pPr>
              <w:pStyle w:val="TableParagraph"/>
              <w:spacing w:before="13"/>
              <w:ind w:left="108" w:right="564"/>
              <w:rPr>
                <w:b/>
                <w:sz w:val="18"/>
              </w:rPr>
            </w:pPr>
            <w:r>
              <w:rPr>
                <w:b/>
                <w:sz w:val="18"/>
              </w:rPr>
              <w:t>Will your proposal help achieve this?</w:t>
            </w:r>
          </w:p>
        </w:tc>
        <w:tc>
          <w:tcPr>
            <w:tcW w:w="2976" w:type="dxa"/>
          </w:tcPr>
          <w:p>
            <w:pPr>
              <w:pStyle w:val="TableParagraph"/>
              <w:spacing w:before="13"/>
              <w:ind w:left="108"/>
              <w:rPr>
                <w:b/>
                <w:sz w:val="18"/>
              </w:rPr>
            </w:pPr>
            <w:r>
              <w:rPr>
                <w:b/>
                <w:sz w:val="18"/>
              </w:rPr>
              <w:t>Explanation where relevant</w:t>
            </w:r>
          </w:p>
        </w:tc>
      </w:tr>
      <w:tr>
        <w:trPr>
          <w:trHeight w:val="1226" w:hRule="atLeast"/>
        </w:trPr>
        <w:tc>
          <w:tcPr>
            <w:tcW w:w="598" w:type="dxa"/>
          </w:tcPr>
          <w:p>
            <w:pPr>
              <w:pStyle w:val="TableParagraph"/>
              <w:spacing w:before="119"/>
              <w:ind w:left="107"/>
              <w:rPr>
                <w:sz w:val="18"/>
              </w:rPr>
            </w:pPr>
            <w:r>
              <w:rPr>
                <w:sz w:val="18"/>
              </w:rPr>
              <w:t>3.1</w:t>
            </w:r>
          </w:p>
        </w:tc>
        <w:tc>
          <w:tcPr>
            <w:tcW w:w="4649" w:type="dxa"/>
          </w:tcPr>
          <w:p>
            <w:pPr>
              <w:pStyle w:val="TableParagraph"/>
              <w:spacing w:before="119"/>
              <w:ind w:left="107" w:right="229"/>
              <w:rPr>
                <w:sz w:val="18"/>
              </w:rPr>
            </w:pPr>
            <w:r>
              <w:rPr>
                <w:sz w:val="18"/>
              </w:rPr>
              <w:t>Land and water are managed as integrated natural resources to recognise and enable Ngāi Tahu culture, traditions, customary uses and relationships with land and water.</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30" w:hRule="atLeast"/>
        </w:trPr>
        <w:tc>
          <w:tcPr>
            <w:tcW w:w="598" w:type="dxa"/>
          </w:tcPr>
          <w:p>
            <w:pPr>
              <w:pStyle w:val="TableParagraph"/>
              <w:spacing w:before="119"/>
              <w:ind w:left="107"/>
              <w:rPr>
                <w:sz w:val="18"/>
              </w:rPr>
            </w:pPr>
            <w:r>
              <w:rPr>
                <w:sz w:val="18"/>
              </w:rPr>
              <w:t>3.6</w:t>
            </w:r>
          </w:p>
        </w:tc>
        <w:tc>
          <w:tcPr>
            <w:tcW w:w="4649" w:type="dxa"/>
          </w:tcPr>
          <w:p>
            <w:pPr>
              <w:pStyle w:val="TableParagraph"/>
              <w:spacing w:before="119"/>
              <w:ind w:left="107" w:right="680"/>
              <w:rPr>
                <w:sz w:val="18"/>
              </w:rPr>
            </w:pPr>
            <w:r>
              <w:rPr>
                <w:sz w:val="18"/>
              </w:rPr>
              <w:t>Water is recognised as essential to all life and is respected for its intrinsic values.</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14" w:hRule="atLeast"/>
        </w:trPr>
        <w:tc>
          <w:tcPr>
            <w:tcW w:w="598" w:type="dxa"/>
          </w:tcPr>
          <w:p>
            <w:pPr>
              <w:pStyle w:val="TableParagraph"/>
              <w:spacing w:before="119"/>
              <w:ind w:left="107"/>
              <w:rPr>
                <w:sz w:val="18"/>
              </w:rPr>
            </w:pPr>
            <w:r>
              <w:rPr>
                <w:sz w:val="18"/>
              </w:rPr>
              <w:t>3.7</w:t>
            </w:r>
          </w:p>
        </w:tc>
        <w:tc>
          <w:tcPr>
            <w:tcW w:w="4649" w:type="dxa"/>
          </w:tcPr>
          <w:p>
            <w:pPr>
              <w:pStyle w:val="TableParagraph"/>
              <w:spacing w:before="119"/>
              <w:ind w:left="107" w:right="680"/>
              <w:rPr>
                <w:sz w:val="18"/>
              </w:rPr>
            </w:pPr>
            <w:r>
              <w:rPr>
                <w:sz w:val="18"/>
              </w:rPr>
              <w:t>Fresh water is managed prudently as a shared resource with many in-stream and out-of-stream values.</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2039" w:hRule="atLeast"/>
        </w:trPr>
        <w:tc>
          <w:tcPr>
            <w:tcW w:w="598" w:type="dxa"/>
          </w:tcPr>
          <w:p>
            <w:pPr>
              <w:pStyle w:val="TableParagraph"/>
              <w:spacing w:before="119"/>
              <w:ind w:left="107"/>
              <w:rPr>
                <w:sz w:val="18"/>
              </w:rPr>
            </w:pPr>
            <w:r>
              <w:rPr>
                <w:sz w:val="18"/>
              </w:rPr>
              <w:t>3.8</w:t>
            </w:r>
          </w:p>
        </w:tc>
        <w:tc>
          <w:tcPr>
            <w:tcW w:w="4649" w:type="dxa"/>
          </w:tcPr>
          <w:p>
            <w:pPr>
              <w:pStyle w:val="TableParagraph"/>
              <w:spacing w:before="119"/>
              <w:ind w:left="107" w:right="89"/>
              <w:rPr>
                <w:sz w:val="18"/>
              </w:rPr>
            </w:pPr>
            <w:r>
              <w:rPr>
                <w:sz w:val="18"/>
              </w:rPr>
              <w:t>The quality and quantity of water in fresh water bodies and their catchments is managed to safeguard the life- supporting capacity of ecosystems and ecosystem processes, including ensuring sufficient flow and quality of water to support the habitat and feeding, breeding, migratory and other behavioural requirements of indigenous species, nesting birds and, where appropriate, trout and salmon.</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21" w:hRule="atLeast"/>
        </w:trPr>
        <w:tc>
          <w:tcPr>
            <w:tcW w:w="598" w:type="dxa"/>
          </w:tcPr>
          <w:p>
            <w:pPr>
              <w:pStyle w:val="TableParagraph"/>
              <w:spacing w:before="119"/>
              <w:ind w:left="107"/>
              <w:rPr>
                <w:sz w:val="18"/>
              </w:rPr>
            </w:pPr>
            <w:r>
              <w:rPr>
                <w:sz w:val="18"/>
              </w:rPr>
              <w:t>3.8A</w:t>
            </w:r>
          </w:p>
        </w:tc>
        <w:tc>
          <w:tcPr>
            <w:tcW w:w="4649" w:type="dxa"/>
          </w:tcPr>
          <w:p>
            <w:pPr>
              <w:pStyle w:val="TableParagraph"/>
              <w:spacing w:before="119"/>
              <w:ind w:left="107" w:right="89"/>
              <w:rPr>
                <w:sz w:val="18"/>
              </w:rPr>
            </w:pPr>
            <w:r>
              <w:rPr>
                <w:sz w:val="18"/>
              </w:rPr>
              <w:t>High quality fresh water is available to meet actual and reasonably foreseeable needs for community drinking water supplies.</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837" w:hRule="atLeast"/>
        </w:trPr>
        <w:tc>
          <w:tcPr>
            <w:tcW w:w="598" w:type="dxa"/>
          </w:tcPr>
          <w:p>
            <w:pPr>
              <w:pStyle w:val="TableParagraph"/>
              <w:spacing w:before="121"/>
              <w:ind w:left="107"/>
              <w:rPr>
                <w:sz w:val="18"/>
              </w:rPr>
            </w:pPr>
            <w:r>
              <w:rPr>
                <w:sz w:val="18"/>
              </w:rPr>
              <w:t>3.14</w:t>
            </w:r>
          </w:p>
        </w:tc>
        <w:tc>
          <w:tcPr>
            <w:tcW w:w="4649" w:type="dxa"/>
          </w:tcPr>
          <w:p>
            <w:pPr>
              <w:pStyle w:val="TableParagraph"/>
              <w:spacing w:before="121"/>
              <w:ind w:left="107" w:right="369"/>
              <w:rPr>
                <w:sz w:val="18"/>
              </w:rPr>
            </w:pPr>
            <w:r>
              <w:rPr>
                <w:sz w:val="18"/>
              </w:rPr>
              <w:t>Outstanding fresh water bodies and hāpua and their margins are maintained in a healthy state or are improved where degraded.</w:t>
            </w:r>
          </w:p>
        </w:tc>
        <w:tc>
          <w:tcPr>
            <w:tcW w:w="2693" w:type="dxa"/>
          </w:tcPr>
          <w:p>
            <w:pPr>
              <w:pStyle w:val="TableParagraph"/>
              <w:spacing w:before="5"/>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90" w:hRule="atLeast"/>
        </w:trPr>
        <w:tc>
          <w:tcPr>
            <w:tcW w:w="598" w:type="dxa"/>
          </w:tcPr>
          <w:p>
            <w:pPr>
              <w:pStyle w:val="TableParagraph"/>
              <w:spacing w:before="121"/>
              <w:ind w:left="107"/>
              <w:rPr>
                <w:sz w:val="18"/>
              </w:rPr>
            </w:pPr>
            <w:r>
              <w:rPr>
                <w:sz w:val="18"/>
              </w:rPr>
              <w:t>3.15</w:t>
            </w:r>
          </w:p>
        </w:tc>
        <w:tc>
          <w:tcPr>
            <w:tcW w:w="4649" w:type="dxa"/>
          </w:tcPr>
          <w:p>
            <w:pPr>
              <w:pStyle w:val="TableParagraph"/>
              <w:spacing w:before="121"/>
              <w:ind w:left="107" w:right="269"/>
              <w:rPr>
                <w:sz w:val="18"/>
              </w:rPr>
            </w:pPr>
            <w:r>
              <w:rPr>
                <w:sz w:val="18"/>
              </w:rPr>
              <w:t>Those parts of lakes and rivers that are valued by the community for recreation are suitable for contact recreation.</w:t>
            </w:r>
          </w:p>
        </w:tc>
        <w:tc>
          <w:tcPr>
            <w:tcW w:w="2693" w:type="dxa"/>
          </w:tcPr>
          <w:p>
            <w:pPr>
              <w:pStyle w:val="TableParagraph"/>
              <w:spacing w:before="5"/>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78" w:hRule="atLeast"/>
        </w:trPr>
        <w:tc>
          <w:tcPr>
            <w:tcW w:w="598" w:type="dxa"/>
          </w:tcPr>
          <w:p>
            <w:pPr>
              <w:pStyle w:val="TableParagraph"/>
              <w:spacing w:before="121"/>
              <w:ind w:left="107"/>
              <w:rPr>
                <w:sz w:val="18"/>
              </w:rPr>
            </w:pPr>
            <w:r>
              <w:rPr>
                <w:sz w:val="18"/>
              </w:rPr>
              <w:t>3.17</w:t>
            </w:r>
          </w:p>
        </w:tc>
        <w:tc>
          <w:tcPr>
            <w:tcW w:w="4649" w:type="dxa"/>
          </w:tcPr>
          <w:p>
            <w:pPr>
              <w:pStyle w:val="TableParagraph"/>
              <w:spacing w:before="121"/>
              <w:ind w:left="107" w:right="169"/>
              <w:rPr>
                <w:sz w:val="18"/>
              </w:rPr>
            </w:pPr>
            <w:r>
              <w:rPr>
                <w:sz w:val="18"/>
              </w:rPr>
              <w:t>The significant indigenous biodiversity values of rivers, wetlands and hāpua are protected.</w:t>
            </w:r>
          </w:p>
        </w:tc>
        <w:tc>
          <w:tcPr>
            <w:tcW w:w="2693" w:type="dxa"/>
          </w:tcPr>
          <w:p>
            <w:pPr>
              <w:pStyle w:val="TableParagraph"/>
              <w:spacing w:before="5"/>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r>
        <w:trPr>
          <w:trHeight w:val="976" w:hRule="atLeast"/>
        </w:trPr>
        <w:tc>
          <w:tcPr>
            <w:tcW w:w="598" w:type="dxa"/>
          </w:tcPr>
          <w:p>
            <w:pPr>
              <w:pStyle w:val="TableParagraph"/>
              <w:spacing w:before="119"/>
              <w:ind w:left="107"/>
              <w:rPr>
                <w:sz w:val="18"/>
              </w:rPr>
            </w:pPr>
            <w:r>
              <w:rPr>
                <w:sz w:val="18"/>
              </w:rPr>
              <w:t>3.23</w:t>
            </w:r>
          </w:p>
        </w:tc>
        <w:tc>
          <w:tcPr>
            <w:tcW w:w="4649" w:type="dxa"/>
          </w:tcPr>
          <w:p>
            <w:pPr>
              <w:pStyle w:val="TableParagraph"/>
              <w:spacing w:before="119"/>
              <w:ind w:left="107" w:right="259"/>
              <w:rPr>
                <w:sz w:val="18"/>
              </w:rPr>
            </w:pPr>
            <w:r>
              <w:rPr>
                <w:sz w:val="18"/>
              </w:rPr>
              <w:t>Soils are healthy and productive, and human-induced erosion and contamination are minimised.</w:t>
            </w:r>
          </w:p>
        </w:tc>
        <w:tc>
          <w:tcPr>
            <w:tcW w:w="2693" w:type="dxa"/>
          </w:tcPr>
          <w:p>
            <w:pPr>
              <w:pStyle w:val="TableParagraph"/>
              <w:spacing w:before="3"/>
              <w:rPr>
                <w:sz w:val="18"/>
              </w:rPr>
            </w:pPr>
          </w:p>
          <w:p>
            <w:pPr>
              <w:pStyle w:val="TableParagraph"/>
              <w:tabs>
                <w:tab w:pos="897" w:val="left" w:leader="none"/>
                <w:tab w:pos="1728" w:val="left" w:leader="none"/>
              </w:tabs>
              <w:ind w:right="155"/>
              <w:jc w:val="right"/>
              <w:rPr>
                <w:sz w:val="18"/>
              </w:rPr>
            </w:pPr>
            <w:r>
              <w:rPr>
                <w:sz w:val="18"/>
              </w:rPr>
              <w:t>Yes</w:t>
              <w:tab/>
              <w:t>No</w:t>
              <w:tab/>
              <w:t>N/A</w:t>
            </w:r>
          </w:p>
        </w:tc>
        <w:tc>
          <w:tcPr>
            <w:tcW w:w="2976" w:type="dxa"/>
          </w:tcPr>
          <w:p>
            <w:pPr>
              <w:pStyle w:val="TableParagraph"/>
              <w:rPr>
                <w:rFonts w:ascii="Times New Roman"/>
                <w:sz w:val="18"/>
              </w:rPr>
            </w:pPr>
          </w:p>
        </w:tc>
      </w:tr>
    </w:tbl>
    <w:p>
      <w:pPr>
        <w:spacing w:after="0"/>
        <w:rPr>
          <w:rFonts w:ascii="Times New Roman"/>
          <w:sz w:val="18"/>
        </w:rPr>
        <w:sectPr>
          <w:pgSz w:w="11910" w:h="16850"/>
          <w:pgMar w:header="0" w:footer="962" w:top="880" w:bottom="1300" w:left="140" w:right="200"/>
        </w:sectPr>
      </w:pPr>
    </w:p>
    <w:p>
      <w:pPr>
        <w:pStyle w:val="BodyText"/>
        <w:tabs>
          <w:tab w:pos="6670" w:val="left" w:leader="none"/>
          <w:tab w:pos="10203" w:val="left" w:leader="none"/>
        </w:tabs>
        <w:spacing w:before="85"/>
        <w:ind w:left="426"/>
      </w:pPr>
      <w:r>
        <w:rPr/>
        <w:pict>
          <v:rect style="position:absolute;margin-left:302.809998pt;margin-top:36.469936pt;width:13.8pt;height:13.824pt;mso-position-horizontal-relative:page;mso-position-vertical-relative:paragraph;z-index:-41368" filled="false" stroked="true" strokeweight=".72pt" strokecolor="#000000">
            <v:stroke dashstyle="solid"/>
            <w10:wrap type="none"/>
          </v:rect>
        </w:pict>
      </w:r>
      <w:r>
        <w:rPr/>
        <w:pict>
          <v:rect style="position:absolute;margin-left:347.709991pt;margin-top:36.469936pt;width:13.8pt;height:13.824pt;mso-position-horizontal-relative:page;mso-position-vertical-relative:paragraph;z-index:-41344" filled="false" stroked="true" strokeweight=".72pt" strokecolor="#000000">
            <v:stroke dashstyle="solid"/>
            <w10:wrap type="none"/>
          </v:rect>
        </w:pict>
      </w:r>
      <w:r>
        <w:rPr/>
        <w:pict>
          <v:rect style="position:absolute;margin-left:388.630005pt;margin-top:36.469936pt;width:13.8pt;height:13.824pt;mso-position-horizontal-relative:page;mso-position-vertical-relative:paragraph;z-index:-41320" filled="false" stroked="true" strokeweight=".72pt" strokecolor="#000000">
            <v:stroke dashstyle="solid"/>
            <w10:wrap type="none"/>
          </v:rect>
        </w:pict>
      </w:r>
      <w:r>
        <w:rPr/>
        <w:t>APPLICATION TO USE LAND FOR FARMING ACTIVITY IN</w:t>
      </w:r>
      <w:r>
        <w:rPr>
          <w:spacing w:val="-18"/>
        </w:rPr>
        <w:t> </w:t>
      </w:r>
      <w:r>
        <w:rPr/>
        <w:t>ORANGE ZONE</w:t>
        <w:tab/>
        <w:t>PAGE 7</w:t>
      </w:r>
      <w:r>
        <w:rPr>
          <w:spacing w:val="-2"/>
        </w:rPr>
        <w:t> </w:t>
      </w:r>
      <w:r>
        <w:rPr/>
        <w:t>OF 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4649"/>
        <w:gridCol w:w="2693"/>
        <w:gridCol w:w="2976"/>
      </w:tblGrid>
      <w:tr>
        <w:trPr>
          <w:trHeight w:val="1276" w:hRule="atLeast"/>
        </w:trPr>
        <w:tc>
          <w:tcPr>
            <w:tcW w:w="598" w:type="dxa"/>
          </w:tcPr>
          <w:p>
            <w:pPr>
              <w:pStyle w:val="TableParagraph"/>
              <w:spacing w:before="121"/>
              <w:ind w:left="107"/>
              <w:rPr>
                <w:sz w:val="18"/>
              </w:rPr>
            </w:pPr>
            <w:r>
              <w:rPr>
                <w:sz w:val="18"/>
              </w:rPr>
              <w:t>3.24</w:t>
            </w:r>
          </w:p>
        </w:tc>
        <w:tc>
          <w:tcPr>
            <w:tcW w:w="4649" w:type="dxa"/>
          </w:tcPr>
          <w:p>
            <w:pPr>
              <w:pStyle w:val="TableParagraph"/>
              <w:spacing w:before="121"/>
              <w:ind w:left="107" w:right="209"/>
              <w:rPr>
                <w:sz w:val="18"/>
              </w:rPr>
            </w:pPr>
            <w:r>
              <w:rPr>
                <w:sz w:val="18"/>
              </w:rPr>
              <w:t>All activities operate at “good environmental practice” or better to optimise efficient resource use and protect the region’s fresh water resources from quality and quantity degradation.</w:t>
            </w:r>
          </w:p>
        </w:tc>
        <w:tc>
          <w:tcPr>
            <w:tcW w:w="2693" w:type="dxa"/>
          </w:tcPr>
          <w:p>
            <w:pPr>
              <w:pStyle w:val="TableParagraph"/>
              <w:spacing w:before="5"/>
              <w:rPr>
                <w:sz w:val="18"/>
              </w:rPr>
            </w:pPr>
          </w:p>
          <w:p>
            <w:pPr>
              <w:pStyle w:val="TableParagraph"/>
              <w:tabs>
                <w:tab w:pos="1394" w:val="left" w:leader="none"/>
                <w:tab w:pos="2225" w:val="left" w:leader="none"/>
              </w:tabs>
              <w:spacing w:before="1"/>
              <w:ind w:left="497"/>
              <w:rPr>
                <w:sz w:val="18"/>
              </w:rPr>
            </w:pPr>
            <w:r>
              <w:rPr>
                <w:sz w:val="18"/>
              </w:rPr>
              <w:t>Yes</w:t>
              <w:tab/>
              <w:t>No</w:t>
              <w:tab/>
              <w:t>N/A</w:t>
            </w:r>
          </w:p>
        </w:tc>
        <w:tc>
          <w:tcPr>
            <w:tcW w:w="2976" w:type="dxa"/>
          </w:tcPr>
          <w:p>
            <w:pPr>
              <w:pStyle w:val="TableParagraph"/>
              <w:rPr>
                <w:rFonts w:ascii="Times New Roman"/>
                <w:sz w:val="18"/>
              </w:rPr>
            </w:pPr>
          </w:p>
        </w:tc>
      </w:tr>
    </w:tbl>
    <w:p>
      <w:pPr>
        <w:pStyle w:val="BodyText"/>
        <w:rPr>
          <w:sz w:val="18"/>
        </w:rPr>
      </w:pPr>
    </w:p>
    <w:p>
      <w:pPr>
        <w:pStyle w:val="BodyText"/>
        <w:spacing w:before="5"/>
        <w:rPr>
          <w:sz w:val="17"/>
        </w:rPr>
      </w:pPr>
    </w:p>
    <w:p>
      <w:pPr>
        <w:pStyle w:val="Heading1"/>
        <w:numPr>
          <w:ilvl w:val="1"/>
          <w:numId w:val="2"/>
        </w:numPr>
        <w:tabs>
          <w:tab w:pos="1002" w:val="left" w:leader="none"/>
          <w:tab w:pos="1003" w:val="left" w:leader="none"/>
        </w:tabs>
        <w:spacing w:line="240" w:lineRule="auto" w:before="0" w:after="0"/>
        <w:ind w:left="1002" w:right="0" w:hanging="576"/>
        <w:jc w:val="left"/>
      </w:pPr>
      <w:r>
        <w:rPr/>
        <w:t>NATIONAL POLICY STATEMENT (NPS) FOR FRESHWATER MANAGEMENT</w:t>
      </w:r>
      <w:r>
        <w:rPr>
          <w:spacing w:val="3"/>
        </w:rPr>
        <w:t> </w:t>
      </w:r>
      <w:r>
        <w:rPr/>
        <w:t>2014</w:t>
      </w:r>
    </w:p>
    <w:p>
      <w:pPr>
        <w:pStyle w:val="BodyText"/>
        <w:spacing w:before="3"/>
        <w:rPr>
          <w:b/>
          <w:sz w:val="20"/>
        </w:rPr>
      </w:pPr>
    </w:p>
    <w:p>
      <w:pPr>
        <w:spacing w:before="0"/>
        <w:ind w:left="426" w:right="648" w:firstLine="0"/>
        <w:jc w:val="left"/>
        <w:rPr>
          <w:sz w:val="20"/>
        </w:rPr>
      </w:pPr>
      <w:r>
        <w:rPr>
          <w:sz w:val="20"/>
        </w:rPr>
        <w:t>The proposed activity will be consistent with the objectives of the NATIONAL POLICY STATEMENT (NPS) FOR FRESHWATER 2014 as the 2011 NPS was given effect to through the objectives, policies and rules in the CANTERBURY LAND &amp; WATER REGIONAL PLAN and the objectives remained unchanged when amended in 2014.</w:t>
      </w:r>
    </w:p>
    <w:p>
      <w:pPr>
        <w:pStyle w:val="BodyText"/>
        <w:spacing w:before="7"/>
        <w:rPr>
          <w:sz w:val="17"/>
        </w:rPr>
      </w:pPr>
    </w:p>
    <w:p>
      <w:pPr>
        <w:pStyle w:val="ListParagraph"/>
        <w:numPr>
          <w:ilvl w:val="1"/>
          <w:numId w:val="2"/>
        </w:numPr>
        <w:tabs>
          <w:tab w:pos="1002" w:val="left" w:leader="none"/>
          <w:tab w:pos="1003" w:val="left" w:leader="none"/>
        </w:tabs>
        <w:spacing w:line="240" w:lineRule="auto" w:before="0" w:after="0"/>
        <w:ind w:left="1002" w:right="1001" w:hanging="576"/>
        <w:jc w:val="left"/>
        <w:rPr>
          <w:b/>
          <w:sz w:val="20"/>
        </w:rPr>
      </w:pPr>
      <w:r>
        <w:rPr>
          <w:b/>
          <w:sz w:val="20"/>
        </w:rPr>
        <w:t>RESOURCE MANAGEMENT (NATIONAL ENVIRONMENTAL STANDARDS FOR SOURCES OF</w:t>
      </w:r>
      <w:r>
        <w:rPr>
          <w:b/>
          <w:spacing w:val="-27"/>
          <w:sz w:val="20"/>
        </w:rPr>
        <w:t> </w:t>
      </w:r>
      <w:r>
        <w:rPr>
          <w:b/>
          <w:sz w:val="20"/>
        </w:rPr>
        <w:t>HUMAN DRINKING WATER) REGULATIONS</w:t>
      </w:r>
      <w:r>
        <w:rPr>
          <w:b/>
          <w:spacing w:val="-2"/>
          <w:sz w:val="20"/>
        </w:rPr>
        <w:t> </w:t>
      </w:r>
      <w:r>
        <w:rPr>
          <w:b/>
          <w:sz w:val="20"/>
        </w:rPr>
        <w:t>2007</w:t>
      </w:r>
    </w:p>
    <w:p>
      <w:pPr>
        <w:pStyle w:val="BodyText"/>
        <w:spacing w:before="5"/>
        <w:rPr>
          <w:b/>
          <w:sz w:val="20"/>
        </w:rPr>
      </w:pPr>
    </w:p>
    <w:p>
      <w:pPr>
        <w:spacing w:before="0"/>
        <w:ind w:left="426" w:right="648" w:firstLine="0"/>
        <w:jc w:val="left"/>
        <w:rPr>
          <w:sz w:val="20"/>
        </w:rPr>
      </w:pPr>
      <w:r>
        <w:rPr>
          <w:sz w:val="20"/>
        </w:rPr>
        <w:t>The proposed activity will be consistent with the NATIONAL ENVIRONMENTAL STANDARDS FOR SOURCES OF HUMAN DRINKING WATER) REGULATIONS 2007 as it was given effect to through the objectives, policies and rules in the CANTERBURY LAND &amp; WATER REGIONAL PLAN.</w:t>
      </w:r>
    </w:p>
    <w:p>
      <w:pPr>
        <w:pStyle w:val="BodyText"/>
        <w:spacing w:before="8"/>
        <w:rPr>
          <w:sz w:val="19"/>
        </w:rPr>
      </w:pPr>
    </w:p>
    <w:p>
      <w:pPr>
        <w:pStyle w:val="ListParagraph"/>
        <w:numPr>
          <w:ilvl w:val="1"/>
          <w:numId w:val="2"/>
        </w:numPr>
        <w:tabs>
          <w:tab w:pos="1002" w:val="left" w:leader="none"/>
          <w:tab w:pos="1003" w:val="left" w:leader="none"/>
        </w:tabs>
        <w:spacing w:line="240" w:lineRule="auto" w:before="0" w:after="0"/>
        <w:ind w:left="1002" w:right="0" w:hanging="576"/>
        <w:jc w:val="left"/>
        <w:rPr>
          <w:b/>
          <w:sz w:val="20"/>
        </w:rPr>
      </w:pPr>
      <w:r>
        <w:rPr>
          <w:b/>
          <w:sz w:val="20"/>
        </w:rPr>
        <w:t>CANTERBURY REGIONAL POLICY STATEMENT</w:t>
      </w:r>
      <w:r>
        <w:rPr>
          <w:b/>
          <w:spacing w:val="3"/>
          <w:sz w:val="20"/>
        </w:rPr>
        <w:t> </w:t>
      </w:r>
      <w:r>
        <w:rPr>
          <w:b/>
          <w:sz w:val="20"/>
        </w:rPr>
        <w:t>2013</w:t>
      </w:r>
    </w:p>
    <w:p>
      <w:pPr>
        <w:pStyle w:val="BodyText"/>
        <w:spacing w:before="3"/>
        <w:rPr>
          <w:b/>
          <w:sz w:val="20"/>
        </w:rPr>
      </w:pPr>
    </w:p>
    <w:p>
      <w:pPr>
        <w:spacing w:before="0"/>
        <w:ind w:left="426" w:right="753" w:firstLine="0"/>
        <w:jc w:val="left"/>
        <w:rPr>
          <w:sz w:val="20"/>
        </w:rPr>
      </w:pPr>
      <w:r>
        <w:rPr>
          <w:sz w:val="20"/>
        </w:rPr>
        <w:t>The proposed activity will be consistent with the objectives of the CANTERBURY REGIONAL POLICY STATEMENT as it was given effect to through the objectives, policies and rules in the CANTERBURY LAND &amp; WATER REGIONAL PLAN.</w:t>
      </w:r>
    </w:p>
    <w:p>
      <w:pPr>
        <w:pStyle w:val="BodyText"/>
        <w:rPr>
          <w:sz w:val="22"/>
        </w:rPr>
      </w:pPr>
    </w:p>
    <w:p>
      <w:pPr>
        <w:pStyle w:val="BodyText"/>
        <w:spacing w:before="5"/>
        <w:rPr>
          <w:sz w:val="19"/>
        </w:rPr>
      </w:pPr>
    </w:p>
    <w:p>
      <w:pPr>
        <w:pStyle w:val="ListParagraph"/>
        <w:numPr>
          <w:ilvl w:val="1"/>
          <w:numId w:val="2"/>
        </w:numPr>
        <w:tabs>
          <w:tab w:pos="1002" w:val="left" w:leader="none"/>
          <w:tab w:pos="1003" w:val="left" w:leader="none"/>
        </w:tabs>
        <w:spacing w:line="240" w:lineRule="auto" w:before="0" w:after="0"/>
        <w:ind w:left="1002" w:right="0" w:hanging="576"/>
        <w:jc w:val="left"/>
        <w:rPr>
          <w:b/>
          <w:sz w:val="20"/>
        </w:rPr>
      </w:pPr>
      <w:r>
        <w:rPr>
          <w:b/>
          <w:sz w:val="20"/>
        </w:rPr>
        <w:t>RESOURCE MANAGEMENT ACT PART 2 - PURPOSE AND</w:t>
      </w:r>
      <w:r>
        <w:rPr>
          <w:b/>
          <w:spacing w:val="12"/>
          <w:sz w:val="20"/>
        </w:rPr>
        <w:t> </w:t>
      </w:r>
      <w:r>
        <w:rPr>
          <w:b/>
          <w:sz w:val="20"/>
        </w:rPr>
        <w:t>PRINCIPLES</w:t>
      </w:r>
    </w:p>
    <w:p>
      <w:pPr>
        <w:pStyle w:val="BodyText"/>
        <w:rPr>
          <w:b/>
          <w:sz w:val="22"/>
        </w:rPr>
      </w:pPr>
    </w:p>
    <w:p>
      <w:pPr>
        <w:pStyle w:val="ListParagraph"/>
        <w:numPr>
          <w:ilvl w:val="2"/>
          <w:numId w:val="2"/>
        </w:numPr>
        <w:tabs>
          <w:tab w:pos="993" w:val="left" w:leader="none"/>
        </w:tabs>
        <w:spacing w:line="240" w:lineRule="auto" w:before="180" w:after="0"/>
        <w:ind w:left="992" w:right="0" w:hanging="566"/>
        <w:jc w:val="left"/>
        <w:rPr>
          <w:sz w:val="20"/>
        </w:rPr>
      </w:pPr>
      <w:r>
        <w:rPr/>
        <w:pict>
          <v:rect style="position:absolute;margin-left:295.730011pt;margin-top:66.639877pt;width:13.8pt;height:13.8pt;mso-position-horizontal-relative:page;mso-position-vertical-relative:paragraph;z-index:-41296" filled="false" stroked="true" strokeweight=".72pt" strokecolor="#000000">
            <v:stroke dashstyle="solid"/>
            <w10:wrap type="none"/>
          </v:rect>
        </w:pict>
      </w:r>
      <w:r>
        <w:rPr/>
        <w:pict>
          <v:rect style="position:absolute;margin-left:340.630005pt;margin-top:66.639877pt;width:13.8pt;height:13.8pt;mso-position-horizontal-relative:page;mso-position-vertical-relative:paragraph;z-index:-41272" filled="false" stroked="true" strokeweight=".72pt" strokecolor="#000000">
            <v:stroke dashstyle="solid"/>
            <w10:wrap type="none"/>
          </v:rect>
        </w:pict>
      </w:r>
      <w:r>
        <w:rPr/>
        <w:pict>
          <v:rect style="position:absolute;margin-left:381.549988pt;margin-top:66.639877pt;width:13.8pt;height:13.8pt;mso-position-horizontal-relative:page;mso-position-vertical-relative:paragraph;z-index:-41248" filled="false" stroked="true" strokeweight=".72pt" strokecolor="#000000">
            <v:stroke dashstyle="solid"/>
            <w10:wrap type="none"/>
          </v:rect>
        </w:pict>
      </w:r>
      <w:r>
        <w:rPr>
          <w:sz w:val="20"/>
        </w:rPr>
        <w:t>Section 5 –</w:t>
      </w:r>
      <w:r>
        <w:rPr>
          <w:spacing w:val="1"/>
          <w:sz w:val="20"/>
        </w:rPr>
        <w:t> </w:t>
      </w:r>
      <w:r>
        <w:rPr>
          <w:sz w:val="20"/>
        </w:rPr>
        <w:t>Purpose</w:t>
      </w:r>
    </w:p>
    <w:p>
      <w:pPr>
        <w:pStyle w:val="BodyText"/>
        <w:spacing w:before="5"/>
        <w:rPr>
          <w:sz w:val="17"/>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2695"/>
        <w:gridCol w:w="3118"/>
      </w:tblGrid>
      <w:tr>
        <w:trPr>
          <w:trHeight w:val="474" w:hRule="atLeast"/>
        </w:trPr>
        <w:tc>
          <w:tcPr>
            <w:tcW w:w="5103" w:type="dxa"/>
          </w:tcPr>
          <w:p>
            <w:pPr>
              <w:pStyle w:val="TableParagraph"/>
              <w:spacing w:before="128"/>
              <w:ind w:left="107"/>
              <w:rPr>
                <w:b/>
                <w:sz w:val="18"/>
              </w:rPr>
            </w:pPr>
            <w:r>
              <w:rPr>
                <w:b/>
                <w:sz w:val="18"/>
              </w:rPr>
              <w:t>Sub-section</w:t>
            </w:r>
          </w:p>
        </w:tc>
        <w:tc>
          <w:tcPr>
            <w:tcW w:w="2695" w:type="dxa"/>
          </w:tcPr>
          <w:p>
            <w:pPr>
              <w:pStyle w:val="TableParagraph"/>
              <w:spacing w:before="13"/>
              <w:ind w:left="110"/>
              <w:rPr>
                <w:b/>
                <w:sz w:val="18"/>
              </w:rPr>
            </w:pPr>
            <w:r>
              <w:rPr>
                <w:b/>
                <w:sz w:val="18"/>
              </w:rPr>
              <w:t>Is your activity consistent</w:t>
            </w:r>
          </w:p>
          <w:p>
            <w:pPr>
              <w:pStyle w:val="TableParagraph"/>
              <w:spacing w:before="21"/>
              <w:ind w:left="110"/>
              <w:rPr>
                <w:b/>
                <w:sz w:val="18"/>
              </w:rPr>
            </w:pPr>
            <w:r>
              <w:rPr>
                <w:b/>
                <w:sz w:val="18"/>
              </w:rPr>
              <w:t>with this?</w:t>
            </w:r>
          </w:p>
        </w:tc>
        <w:tc>
          <w:tcPr>
            <w:tcW w:w="3118" w:type="dxa"/>
          </w:tcPr>
          <w:p>
            <w:pPr>
              <w:pStyle w:val="TableParagraph"/>
              <w:spacing w:before="13"/>
              <w:ind w:left="108"/>
              <w:rPr>
                <w:b/>
                <w:sz w:val="18"/>
              </w:rPr>
            </w:pPr>
            <w:r>
              <w:rPr>
                <w:b/>
                <w:sz w:val="18"/>
              </w:rPr>
              <w:t>Explanation where relevant</w:t>
            </w:r>
          </w:p>
        </w:tc>
      </w:tr>
      <w:tr>
        <w:trPr>
          <w:trHeight w:val="3638" w:hRule="atLeast"/>
        </w:trPr>
        <w:tc>
          <w:tcPr>
            <w:tcW w:w="5103" w:type="dxa"/>
          </w:tcPr>
          <w:p>
            <w:pPr>
              <w:pStyle w:val="TableParagraph"/>
              <w:spacing w:before="3"/>
              <w:rPr>
                <w:sz w:val="28"/>
              </w:rPr>
            </w:pPr>
          </w:p>
          <w:p>
            <w:pPr>
              <w:pStyle w:val="TableParagraph"/>
              <w:ind w:left="107" w:right="763"/>
              <w:rPr>
                <w:sz w:val="18"/>
              </w:rPr>
            </w:pPr>
            <w:r>
              <w:rPr>
                <w:sz w:val="18"/>
              </w:rPr>
              <w:t>The purpose of this Act is to promote the sustainable management of natural and physical resources.</w:t>
            </w:r>
          </w:p>
          <w:p>
            <w:pPr>
              <w:pStyle w:val="TableParagraph"/>
              <w:spacing w:before="1"/>
              <w:rPr>
                <w:sz w:val="18"/>
              </w:rPr>
            </w:pPr>
          </w:p>
          <w:p>
            <w:pPr>
              <w:pStyle w:val="TableParagraph"/>
              <w:ind w:left="107" w:right="313"/>
              <w:rPr>
                <w:sz w:val="18"/>
              </w:rPr>
            </w:pPr>
            <w:r>
              <w:rPr>
                <w:sz w:val="18"/>
              </w:rPr>
              <w:t>In this Act, sustainable management means managing the use, development, and protection of natural and physical resources in a way, or at a rate, which enables people and communities to provide for their social, economic, and cultural wellbeing and for their health and safety while—</w:t>
            </w:r>
          </w:p>
          <w:p>
            <w:pPr>
              <w:pStyle w:val="TableParagraph"/>
              <w:numPr>
                <w:ilvl w:val="0"/>
                <w:numId w:val="17"/>
              </w:numPr>
              <w:tabs>
                <w:tab w:pos="829" w:val="left" w:leader="none"/>
              </w:tabs>
              <w:spacing w:line="240" w:lineRule="auto" w:before="0" w:after="0"/>
              <w:ind w:left="828" w:right="101" w:hanging="361"/>
              <w:jc w:val="left"/>
              <w:rPr>
                <w:sz w:val="18"/>
              </w:rPr>
            </w:pPr>
            <w:r>
              <w:rPr>
                <w:sz w:val="18"/>
              </w:rPr>
              <w:t>Sustaining the potential of natural and physical resources (excluding minerals) to meet the reasonably foreseeable needs of future</w:t>
            </w:r>
            <w:r>
              <w:rPr>
                <w:spacing w:val="-22"/>
                <w:sz w:val="18"/>
              </w:rPr>
              <w:t> </w:t>
            </w:r>
            <w:r>
              <w:rPr>
                <w:sz w:val="18"/>
              </w:rPr>
              <w:t>generations; and</w:t>
            </w:r>
          </w:p>
          <w:p>
            <w:pPr>
              <w:pStyle w:val="TableParagraph"/>
              <w:numPr>
                <w:ilvl w:val="0"/>
                <w:numId w:val="17"/>
              </w:numPr>
              <w:tabs>
                <w:tab w:pos="829" w:val="left" w:leader="none"/>
              </w:tabs>
              <w:spacing w:line="240" w:lineRule="auto" w:before="0" w:after="0"/>
              <w:ind w:left="828" w:right="498" w:hanging="361"/>
              <w:jc w:val="left"/>
              <w:rPr>
                <w:sz w:val="18"/>
              </w:rPr>
            </w:pPr>
            <w:r>
              <w:rPr>
                <w:sz w:val="18"/>
              </w:rPr>
              <w:t>Safeguarding the life-supporting capacity of air, water, soil, and ecosystems;</w:t>
            </w:r>
            <w:r>
              <w:rPr>
                <w:spacing w:val="-2"/>
                <w:sz w:val="18"/>
              </w:rPr>
              <w:t> </w:t>
            </w:r>
            <w:r>
              <w:rPr>
                <w:sz w:val="18"/>
              </w:rPr>
              <w:t>and</w:t>
            </w:r>
          </w:p>
          <w:p>
            <w:pPr>
              <w:pStyle w:val="TableParagraph"/>
              <w:numPr>
                <w:ilvl w:val="0"/>
                <w:numId w:val="17"/>
              </w:numPr>
              <w:tabs>
                <w:tab w:pos="829" w:val="left" w:leader="none"/>
              </w:tabs>
              <w:spacing w:line="206" w:lineRule="exact" w:before="5" w:after="0"/>
              <w:ind w:left="828" w:right="523" w:hanging="361"/>
              <w:jc w:val="left"/>
              <w:rPr>
                <w:sz w:val="18"/>
              </w:rPr>
            </w:pPr>
            <w:r>
              <w:rPr>
                <w:sz w:val="18"/>
              </w:rPr>
              <w:t>Avoiding, remedying, or mitigating any</w:t>
            </w:r>
            <w:r>
              <w:rPr>
                <w:spacing w:val="-22"/>
                <w:sz w:val="18"/>
              </w:rPr>
              <w:t> </w:t>
            </w:r>
            <w:r>
              <w:rPr>
                <w:sz w:val="18"/>
              </w:rPr>
              <w:t>adverse effects of activities on the</w:t>
            </w:r>
            <w:r>
              <w:rPr>
                <w:spacing w:val="-4"/>
                <w:sz w:val="18"/>
              </w:rPr>
              <w:t> </w:t>
            </w:r>
            <w:r>
              <w:rPr>
                <w:sz w:val="18"/>
              </w:rPr>
              <w:t>environment.</w:t>
            </w:r>
          </w:p>
        </w:tc>
        <w:tc>
          <w:tcPr>
            <w:tcW w:w="2695" w:type="dxa"/>
          </w:tcPr>
          <w:p>
            <w:pPr>
              <w:pStyle w:val="TableParagraph"/>
              <w:spacing w:before="9"/>
              <w:rPr>
                <w:sz w:val="25"/>
              </w:rPr>
            </w:pPr>
          </w:p>
          <w:p>
            <w:pPr>
              <w:pStyle w:val="TableParagraph"/>
              <w:tabs>
                <w:tab w:pos="1397" w:val="left" w:leader="none"/>
                <w:tab w:pos="2227" w:val="left" w:leader="none"/>
              </w:tabs>
              <w:ind w:left="499"/>
              <w:rPr>
                <w:sz w:val="18"/>
              </w:rPr>
            </w:pPr>
            <w:r>
              <w:rPr>
                <w:sz w:val="18"/>
              </w:rPr>
              <w:t>Yes</w:t>
              <w:tab/>
              <w:t>No</w:t>
              <w:tab/>
              <w:t>N/A</w:t>
            </w:r>
          </w:p>
        </w:tc>
        <w:tc>
          <w:tcPr>
            <w:tcW w:w="3118"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t>APPLICATION TO USE LAND FOR FARMING ACTIVITY IN</w:t>
      </w:r>
      <w:r>
        <w:rPr>
          <w:spacing w:val="-18"/>
        </w:rPr>
        <w:t> </w:t>
      </w:r>
      <w:r>
        <w:rPr/>
        <w:t>ORANGE ZONE</w:t>
        <w:tab/>
        <w:t>PAGE 8</w:t>
      </w:r>
      <w:r>
        <w:rPr>
          <w:spacing w:val="-2"/>
        </w:rPr>
        <w:t> </w:t>
      </w:r>
      <w:r>
        <w:rPr/>
        <w:t>OF 15</w:t>
        <w:tab/>
        <w:t>March 2016</w:t>
      </w:r>
    </w:p>
    <w:p>
      <w:pPr>
        <w:pStyle w:val="BodyText"/>
        <w:spacing w:before="4"/>
        <w:rPr>
          <w:sz w:val="18"/>
        </w:rPr>
      </w:pPr>
    </w:p>
    <w:p>
      <w:pPr>
        <w:pStyle w:val="ListParagraph"/>
        <w:numPr>
          <w:ilvl w:val="2"/>
          <w:numId w:val="2"/>
        </w:numPr>
        <w:tabs>
          <w:tab w:pos="993" w:val="left" w:leader="none"/>
        </w:tabs>
        <w:spacing w:line="240" w:lineRule="auto" w:before="93" w:after="0"/>
        <w:ind w:left="992" w:right="0" w:hanging="566"/>
        <w:jc w:val="left"/>
        <w:rPr>
          <w:sz w:val="20"/>
        </w:rPr>
      </w:pPr>
      <w:r>
        <w:rPr/>
        <w:pict>
          <v:rect style="position:absolute;margin-left:295.730011pt;margin-top:61.809883pt;width:13.8pt;height:13.8pt;mso-position-horizontal-relative:page;mso-position-vertical-relative:paragraph;z-index:-41224" filled="false" stroked="true" strokeweight=".72pt" strokecolor="#000000">
            <v:stroke dashstyle="solid"/>
            <w10:wrap type="none"/>
          </v:rect>
        </w:pict>
      </w:r>
      <w:r>
        <w:rPr/>
        <w:pict>
          <v:rect style="position:absolute;margin-left:340.630005pt;margin-top:61.809883pt;width:13.8pt;height:13.8pt;mso-position-horizontal-relative:page;mso-position-vertical-relative:paragraph;z-index:-41200" filled="false" stroked="true" strokeweight=".72pt" strokecolor="#000000">
            <v:stroke dashstyle="solid"/>
            <w10:wrap type="none"/>
          </v:rect>
        </w:pict>
      </w:r>
      <w:r>
        <w:rPr/>
        <w:pict>
          <v:rect style="position:absolute;margin-left:381.549988pt;margin-top:61.809883pt;width:13.8pt;height:13.8pt;mso-position-horizontal-relative:page;mso-position-vertical-relative:paragraph;z-index:-41176" filled="false" stroked="true" strokeweight=".72pt" strokecolor="#000000">
            <v:stroke dashstyle="solid"/>
            <w10:wrap type="none"/>
          </v:rect>
        </w:pict>
      </w:r>
      <w:r>
        <w:rPr>
          <w:sz w:val="20"/>
        </w:rPr>
        <w:t>Section 6 - Matters of national</w:t>
      </w:r>
      <w:r>
        <w:rPr>
          <w:spacing w:val="1"/>
          <w:sz w:val="20"/>
        </w:rPr>
        <w:t> </w:t>
      </w:r>
      <w:r>
        <w:rPr>
          <w:sz w:val="20"/>
        </w:rPr>
        <w:t>importance</w:t>
      </w:r>
    </w:p>
    <w:p>
      <w:pPr>
        <w:pStyle w:val="BodyText"/>
        <w:spacing w:before="3"/>
        <w:rPr>
          <w:sz w:val="18"/>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2695"/>
        <w:gridCol w:w="3118"/>
      </w:tblGrid>
      <w:tr>
        <w:trPr>
          <w:trHeight w:val="455" w:hRule="atLeast"/>
        </w:trPr>
        <w:tc>
          <w:tcPr>
            <w:tcW w:w="5103" w:type="dxa"/>
            <w:vMerge w:val="restart"/>
          </w:tcPr>
          <w:p>
            <w:pPr>
              <w:pStyle w:val="TableParagraph"/>
              <w:rPr>
                <w:sz w:val="20"/>
              </w:rPr>
            </w:pPr>
          </w:p>
          <w:p>
            <w:pPr>
              <w:pStyle w:val="TableParagraph"/>
              <w:spacing w:before="141"/>
              <w:ind w:left="107"/>
              <w:rPr>
                <w:sz w:val="18"/>
              </w:rPr>
            </w:pPr>
            <w:r>
              <w:rPr>
                <w:sz w:val="18"/>
              </w:rPr>
              <w:t>Recognise and provide for the following:</w:t>
            </w:r>
          </w:p>
          <w:p>
            <w:pPr>
              <w:pStyle w:val="TableParagraph"/>
              <w:numPr>
                <w:ilvl w:val="0"/>
                <w:numId w:val="18"/>
              </w:numPr>
              <w:tabs>
                <w:tab w:pos="468" w:val="left" w:leader="none"/>
              </w:tabs>
              <w:spacing w:line="240" w:lineRule="auto" w:before="119" w:after="0"/>
              <w:ind w:left="467" w:right="284" w:hanging="360"/>
              <w:jc w:val="both"/>
              <w:rPr>
                <w:sz w:val="18"/>
              </w:rPr>
            </w:pPr>
            <w:r>
              <w:rPr>
                <w:sz w:val="18"/>
              </w:rPr>
              <w:t>the preservation of the natural character of the coastal environment, wetlands, and lakes and rivers and their margins, and the protection of them from</w:t>
            </w:r>
            <w:r>
              <w:rPr>
                <w:spacing w:val="-22"/>
                <w:sz w:val="18"/>
              </w:rPr>
              <w:t> </w:t>
            </w:r>
            <w:r>
              <w:rPr>
                <w:sz w:val="18"/>
              </w:rPr>
              <w:t>inappropriate subdivision, use, and</w:t>
            </w:r>
            <w:r>
              <w:rPr>
                <w:spacing w:val="-5"/>
                <w:sz w:val="18"/>
              </w:rPr>
              <w:t> </w:t>
            </w:r>
            <w:r>
              <w:rPr>
                <w:sz w:val="18"/>
              </w:rPr>
              <w:t>development.</w:t>
            </w:r>
          </w:p>
          <w:p>
            <w:pPr>
              <w:pStyle w:val="TableParagraph"/>
              <w:numPr>
                <w:ilvl w:val="0"/>
                <w:numId w:val="18"/>
              </w:numPr>
              <w:tabs>
                <w:tab w:pos="467" w:val="left" w:leader="none"/>
                <w:tab w:pos="468" w:val="left" w:leader="none"/>
              </w:tabs>
              <w:spacing w:line="240" w:lineRule="auto" w:before="0" w:after="0"/>
              <w:ind w:left="467" w:right="473" w:hanging="360"/>
              <w:jc w:val="left"/>
              <w:rPr>
                <w:sz w:val="18"/>
              </w:rPr>
            </w:pPr>
            <w:r>
              <w:rPr>
                <w:sz w:val="18"/>
              </w:rPr>
              <w:t>the protection of outstanding natural features and landscapes from inappropriate subdivision, use,</w:t>
            </w:r>
            <w:r>
              <w:rPr>
                <w:spacing w:val="-21"/>
                <w:sz w:val="18"/>
              </w:rPr>
              <w:t> </w:t>
            </w:r>
            <w:r>
              <w:rPr>
                <w:sz w:val="18"/>
              </w:rPr>
              <w:t>and development.</w:t>
            </w:r>
          </w:p>
          <w:p>
            <w:pPr>
              <w:pStyle w:val="TableParagraph"/>
              <w:numPr>
                <w:ilvl w:val="0"/>
                <w:numId w:val="18"/>
              </w:numPr>
              <w:tabs>
                <w:tab w:pos="467" w:val="left" w:leader="none"/>
                <w:tab w:pos="468" w:val="left" w:leader="none"/>
              </w:tabs>
              <w:spacing w:line="240" w:lineRule="auto" w:before="1" w:after="0"/>
              <w:ind w:left="467" w:right="243" w:hanging="360"/>
              <w:jc w:val="left"/>
              <w:rPr>
                <w:sz w:val="18"/>
              </w:rPr>
            </w:pPr>
            <w:r>
              <w:rPr>
                <w:sz w:val="18"/>
              </w:rPr>
              <w:t>the protection of areas of significant indigenous vegetation and significant habitats of indigenous</w:t>
            </w:r>
            <w:r>
              <w:rPr>
                <w:spacing w:val="-25"/>
                <w:sz w:val="18"/>
              </w:rPr>
              <w:t> </w:t>
            </w:r>
            <w:r>
              <w:rPr>
                <w:sz w:val="18"/>
              </w:rPr>
              <w:t>fauna.</w:t>
            </w:r>
          </w:p>
          <w:p>
            <w:pPr>
              <w:pStyle w:val="TableParagraph"/>
              <w:numPr>
                <w:ilvl w:val="0"/>
                <w:numId w:val="18"/>
              </w:numPr>
              <w:tabs>
                <w:tab w:pos="467" w:val="left" w:leader="none"/>
                <w:tab w:pos="468" w:val="left" w:leader="none"/>
              </w:tabs>
              <w:spacing w:line="240" w:lineRule="auto" w:before="0" w:after="0"/>
              <w:ind w:left="467" w:right="270" w:hanging="360"/>
              <w:jc w:val="left"/>
              <w:rPr>
                <w:sz w:val="18"/>
              </w:rPr>
            </w:pPr>
            <w:r>
              <w:rPr>
                <w:sz w:val="18"/>
              </w:rPr>
              <w:t>the maintenance and enhancement of public access to and along the coastal marine area, lakes and</w:t>
            </w:r>
            <w:r>
              <w:rPr>
                <w:spacing w:val="-18"/>
                <w:sz w:val="18"/>
              </w:rPr>
              <w:t> </w:t>
            </w:r>
            <w:r>
              <w:rPr>
                <w:sz w:val="18"/>
              </w:rPr>
              <w:t>rivers.</w:t>
            </w:r>
          </w:p>
          <w:p>
            <w:pPr>
              <w:pStyle w:val="TableParagraph"/>
              <w:numPr>
                <w:ilvl w:val="0"/>
                <w:numId w:val="18"/>
              </w:numPr>
              <w:tabs>
                <w:tab w:pos="467" w:val="left" w:leader="none"/>
                <w:tab w:pos="468" w:val="left" w:leader="none"/>
              </w:tabs>
              <w:spacing w:line="240" w:lineRule="auto" w:before="0" w:after="0"/>
              <w:ind w:left="467" w:right="235" w:hanging="360"/>
              <w:jc w:val="left"/>
              <w:rPr>
                <w:sz w:val="18"/>
              </w:rPr>
            </w:pPr>
            <w:r>
              <w:rPr>
                <w:sz w:val="18"/>
              </w:rPr>
              <w:t>the relationship of Maori and their culture and</w:t>
            </w:r>
            <w:r>
              <w:rPr>
                <w:spacing w:val="-28"/>
                <w:sz w:val="18"/>
              </w:rPr>
              <w:t> </w:t>
            </w:r>
            <w:r>
              <w:rPr>
                <w:sz w:val="18"/>
              </w:rPr>
              <w:t>traditions with their ancestral lands, water, sites, wahi tapu, and other</w:t>
            </w:r>
            <w:r>
              <w:rPr>
                <w:spacing w:val="-1"/>
                <w:sz w:val="18"/>
              </w:rPr>
              <w:t> </w:t>
            </w:r>
            <w:r>
              <w:rPr>
                <w:sz w:val="18"/>
              </w:rPr>
              <w:t>taonga.</w:t>
            </w:r>
          </w:p>
          <w:p>
            <w:pPr>
              <w:pStyle w:val="TableParagraph"/>
              <w:numPr>
                <w:ilvl w:val="0"/>
                <w:numId w:val="18"/>
              </w:numPr>
              <w:tabs>
                <w:tab w:pos="467" w:val="left" w:leader="none"/>
                <w:tab w:pos="468" w:val="left" w:leader="none"/>
              </w:tabs>
              <w:spacing w:line="240" w:lineRule="auto" w:before="1" w:after="0"/>
              <w:ind w:left="467" w:right="500" w:hanging="360"/>
              <w:jc w:val="left"/>
              <w:rPr>
                <w:sz w:val="18"/>
              </w:rPr>
            </w:pPr>
            <w:r>
              <w:rPr>
                <w:sz w:val="18"/>
              </w:rPr>
              <w:t>the protection of historic heritage from inappropriate subdivision, use, and</w:t>
            </w:r>
            <w:r>
              <w:rPr>
                <w:spacing w:val="-7"/>
                <w:sz w:val="18"/>
              </w:rPr>
              <w:t> </w:t>
            </w:r>
            <w:r>
              <w:rPr>
                <w:sz w:val="18"/>
              </w:rPr>
              <w:t>development.</w:t>
            </w:r>
          </w:p>
          <w:p>
            <w:pPr>
              <w:pStyle w:val="TableParagraph"/>
              <w:numPr>
                <w:ilvl w:val="0"/>
                <w:numId w:val="18"/>
              </w:numPr>
              <w:tabs>
                <w:tab w:pos="467" w:val="left" w:leader="none"/>
                <w:tab w:pos="468" w:val="left" w:leader="none"/>
              </w:tabs>
              <w:spacing w:line="206" w:lineRule="exact" w:before="0" w:after="0"/>
              <w:ind w:left="467" w:right="0" w:hanging="360"/>
              <w:jc w:val="left"/>
              <w:rPr>
                <w:sz w:val="18"/>
              </w:rPr>
            </w:pPr>
            <w:r>
              <w:rPr>
                <w:sz w:val="18"/>
              </w:rPr>
              <w:t>the protection of recognised customary</w:t>
            </w:r>
            <w:r>
              <w:rPr>
                <w:spacing w:val="-10"/>
                <w:sz w:val="18"/>
              </w:rPr>
              <w:t> </w:t>
            </w:r>
            <w:r>
              <w:rPr>
                <w:sz w:val="18"/>
              </w:rPr>
              <w:t>activities.</w:t>
            </w:r>
          </w:p>
        </w:tc>
        <w:tc>
          <w:tcPr>
            <w:tcW w:w="2695" w:type="dxa"/>
          </w:tcPr>
          <w:p>
            <w:pPr>
              <w:pStyle w:val="TableParagraph"/>
              <w:spacing w:before="15"/>
              <w:ind w:left="110" w:right="104"/>
              <w:rPr>
                <w:b/>
                <w:sz w:val="18"/>
              </w:rPr>
            </w:pPr>
            <w:r>
              <w:rPr>
                <w:b/>
                <w:sz w:val="18"/>
              </w:rPr>
              <w:t>Does your activity recognise and provide for these?</w:t>
            </w:r>
          </w:p>
        </w:tc>
        <w:tc>
          <w:tcPr>
            <w:tcW w:w="3118" w:type="dxa"/>
          </w:tcPr>
          <w:p>
            <w:pPr>
              <w:pStyle w:val="TableParagraph"/>
              <w:spacing w:before="15"/>
              <w:ind w:left="108"/>
              <w:rPr>
                <w:b/>
                <w:sz w:val="18"/>
              </w:rPr>
            </w:pPr>
            <w:r>
              <w:rPr>
                <w:b/>
                <w:sz w:val="18"/>
              </w:rPr>
              <w:t>Explanation where relevant</w:t>
            </w:r>
          </w:p>
        </w:tc>
      </w:tr>
      <w:tr>
        <w:trPr>
          <w:trHeight w:val="4003" w:hRule="atLeast"/>
        </w:trPr>
        <w:tc>
          <w:tcPr>
            <w:tcW w:w="5103" w:type="dxa"/>
            <w:vMerge/>
            <w:tcBorders>
              <w:top w:val="nil"/>
            </w:tcBorders>
          </w:tcPr>
          <w:p>
            <w:pPr>
              <w:rPr>
                <w:sz w:val="2"/>
                <w:szCs w:val="2"/>
              </w:rPr>
            </w:pPr>
          </w:p>
        </w:tc>
        <w:tc>
          <w:tcPr>
            <w:tcW w:w="2695" w:type="dxa"/>
          </w:tcPr>
          <w:p>
            <w:pPr>
              <w:pStyle w:val="TableParagraph"/>
              <w:spacing w:before="9"/>
              <w:rPr>
                <w:sz w:val="25"/>
              </w:rPr>
            </w:pPr>
          </w:p>
          <w:p>
            <w:pPr>
              <w:pStyle w:val="TableParagraph"/>
              <w:tabs>
                <w:tab w:pos="1397" w:val="left" w:leader="none"/>
                <w:tab w:pos="2227" w:val="left" w:leader="none"/>
              </w:tabs>
              <w:ind w:left="499"/>
              <w:rPr>
                <w:sz w:val="18"/>
              </w:rPr>
            </w:pPr>
            <w:r>
              <w:rPr>
                <w:sz w:val="18"/>
              </w:rPr>
              <w:t>Yes</w:t>
              <w:tab/>
              <w:t>No</w:t>
              <w:tab/>
              <w:t>N/A</w:t>
            </w:r>
          </w:p>
        </w:tc>
        <w:tc>
          <w:tcPr>
            <w:tcW w:w="3118" w:type="dxa"/>
          </w:tcPr>
          <w:p>
            <w:pPr>
              <w:pStyle w:val="TableParagraph"/>
              <w:rPr>
                <w:rFonts w:ascii="Times New Roman"/>
                <w:sz w:val="18"/>
              </w:rPr>
            </w:pPr>
          </w:p>
        </w:tc>
      </w:tr>
    </w:tbl>
    <w:p>
      <w:pPr>
        <w:pStyle w:val="Heading3"/>
        <w:numPr>
          <w:ilvl w:val="2"/>
          <w:numId w:val="2"/>
        </w:numPr>
        <w:tabs>
          <w:tab w:pos="993" w:val="left" w:leader="none"/>
        </w:tabs>
        <w:spacing w:line="240" w:lineRule="auto" w:before="155" w:after="0"/>
        <w:ind w:left="992" w:right="0" w:hanging="566"/>
        <w:jc w:val="left"/>
      </w:pPr>
      <w:r>
        <w:rPr/>
        <w:pict>
          <v:rect style="position:absolute;margin-left:295.730011pt;margin-top:63.471893pt;width:13.8pt;height:13.8pt;mso-position-horizontal-relative:page;mso-position-vertical-relative:paragraph;z-index:-41152" filled="false" stroked="true" strokeweight=".72pt" strokecolor="#000000">
            <v:stroke dashstyle="solid"/>
            <w10:wrap type="none"/>
          </v:rect>
        </w:pict>
      </w:r>
      <w:r>
        <w:rPr/>
        <w:pict>
          <v:rect style="position:absolute;margin-left:340.630005pt;margin-top:63.471893pt;width:13.8pt;height:13.8pt;mso-position-horizontal-relative:page;mso-position-vertical-relative:paragraph;z-index:-41128" filled="false" stroked="true" strokeweight=".72pt" strokecolor="#000000">
            <v:stroke dashstyle="solid"/>
            <w10:wrap type="none"/>
          </v:rect>
        </w:pict>
      </w:r>
      <w:r>
        <w:rPr/>
        <w:pict>
          <v:rect style="position:absolute;margin-left:381.549988pt;margin-top:63.471893pt;width:13.8pt;height:13.8pt;mso-position-horizontal-relative:page;mso-position-vertical-relative:paragraph;z-index:-41104" filled="false" stroked="true" strokeweight=".72pt" strokecolor="#000000">
            <v:stroke dashstyle="solid"/>
            <w10:wrap type="none"/>
          </v:rect>
        </w:pict>
      </w:r>
      <w:r>
        <w:rPr/>
        <w:t>Section 7 - Other</w:t>
      </w:r>
      <w:r>
        <w:rPr>
          <w:spacing w:val="-4"/>
        </w:rPr>
        <w:t> </w:t>
      </w:r>
      <w:r>
        <w:rPr/>
        <w:t>matters</w:t>
      </w:r>
    </w:p>
    <w:p>
      <w:pPr>
        <w:pStyle w:val="BodyText"/>
        <w:spacing w:before="8" w:after="1"/>
        <w:rPr>
          <w:sz w:val="17"/>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2695"/>
        <w:gridCol w:w="3118"/>
      </w:tblGrid>
      <w:tr>
        <w:trPr>
          <w:trHeight w:val="455" w:hRule="atLeast"/>
        </w:trPr>
        <w:tc>
          <w:tcPr>
            <w:tcW w:w="5103" w:type="dxa"/>
            <w:vMerge w:val="restart"/>
          </w:tcPr>
          <w:p>
            <w:pPr>
              <w:pStyle w:val="TableParagraph"/>
              <w:spacing w:line="206" w:lineRule="exact"/>
              <w:ind w:left="107"/>
              <w:rPr>
                <w:sz w:val="18"/>
              </w:rPr>
            </w:pPr>
            <w:r>
              <w:rPr>
                <w:sz w:val="18"/>
              </w:rPr>
              <w:t>Have particular regard to the following:</w:t>
            </w:r>
          </w:p>
          <w:p>
            <w:pPr>
              <w:pStyle w:val="TableParagraph"/>
              <w:numPr>
                <w:ilvl w:val="0"/>
                <w:numId w:val="19"/>
              </w:numPr>
              <w:tabs>
                <w:tab w:pos="828" w:val="left" w:leader="none"/>
                <w:tab w:pos="829" w:val="left" w:leader="none"/>
              </w:tabs>
              <w:spacing w:line="207" w:lineRule="exact" w:before="122" w:after="0"/>
              <w:ind w:left="828" w:right="0" w:hanging="361"/>
              <w:jc w:val="left"/>
              <w:rPr>
                <w:sz w:val="18"/>
              </w:rPr>
            </w:pPr>
            <w:r>
              <w:rPr>
                <w:sz w:val="18"/>
              </w:rPr>
              <w:t>kaitiakitanga.</w:t>
            </w:r>
          </w:p>
          <w:p>
            <w:pPr>
              <w:pStyle w:val="TableParagraph"/>
              <w:spacing w:line="206" w:lineRule="exact"/>
              <w:ind w:left="467"/>
              <w:rPr>
                <w:sz w:val="18"/>
              </w:rPr>
            </w:pPr>
            <w:r>
              <w:rPr>
                <w:sz w:val="18"/>
              </w:rPr>
              <w:t>aa. the ethic of stewardship.</w:t>
            </w:r>
          </w:p>
          <w:p>
            <w:pPr>
              <w:pStyle w:val="TableParagraph"/>
              <w:numPr>
                <w:ilvl w:val="0"/>
                <w:numId w:val="19"/>
              </w:numPr>
              <w:tabs>
                <w:tab w:pos="828" w:val="left" w:leader="none"/>
                <w:tab w:pos="829" w:val="left" w:leader="none"/>
              </w:tabs>
              <w:spacing w:line="240" w:lineRule="auto" w:before="0" w:after="0"/>
              <w:ind w:left="869" w:right="422" w:hanging="402"/>
              <w:jc w:val="left"/>
              <w:rPr>
                <w:sz w:val="18"/>
              </w:rPr>
            </w:pPr>
            <w:r>
              <w:rPr>
                <w:sz w:val="18"/>
              </w:rPr>
              <w:t>the efficient use and development of natural</w:t>
            </w:r>
            <w:r>
              <w:rPr>
                <w:spacing w:val="-24"/>
                <w:sz w:val="18"/>
              </w:rPr>
              <w:t> </w:t>
            </w:r>
            <w:r>
              <w:rPr>
                <w:sz w:val="18"/>
              </w:rPr>
              <w:t>and physical</w:t>
            </w:r>
            <w:r>
              <w:rPr>
                <w:spacing w:val="-1"/>
                <w:sz w:val="18"/>
              </w:rPr>
              <w:t> </w:t>
            </w:r>
            <w:r>
              <w:rPr>
                <w:sz w:val="18"/>
              </w:rPr>
              <w:t>resources.</w:t>
            </w:r>
          </w:p>
          <w:p>
            <w:pPr>
              <w:pStyle w:val="TableParagraph"/>
              <w:spacing w:line="207" w:lineRule="exact"/>
              <w:ind w:left="467"/>
              <w:rPr>
                <w:sz w:val="18"/>
              </w:rPr>
            </w:pPr>
            <w:r>
              <w:rPr>
                <w:sz w:val="18"/>
              </w:rPr>
              <w:t>ba. the efficiency of the end use of energy.</w:t>
            </w:r>
          </w:p>
          <w:p>
            <w:pPr>
              <w:pStyle w:val="TableParagraph"/>
              <w:numPr>
                <w:ilvl w:val="0"/>
                <w:numId w:val="19"/>
              </w:numPr>
              <w:tabs>
                <w:tab w:pos="828" w:val="left" w:leader="none"/>
                <w:tab w:pos="829" w:val="left" w:leader="none"/>
              </w:tabs>
              <w:spacing w:line="240" w:lineRule="auto" w:before="0" w:after="0"/>
              <w:ind w:left="821" w:right="561" w:hanging="354"/>
              <w:jc w:val="left"/>
              <w:rPr>
                <w:sz w:val="18"/>
              </w:rPr>
            </w:pPr>
            <w:r>
              <w:rPr>
                <w:sz w:val="18"/>
              </w:rPr>
              <w:t>the maintenance and enhancement of</w:t>
            </w:r>
            <w:r>
              <w:rPr>
                <w:spacing w:val="-17"/>
                <w:sz w:val="18"/>
              </w:rPr>
              <w:t> </w:t>
            </w:r>
            <w:r>
              <w:rPr>
                <w:sz w:val="18"/>
              </w:rPr>
              <w:t>amenity values.</w:t>
            </w:r>
          </w:p>
          <w:p>
            <w:pPr>
              <w:pStyle w:val="TableParagraph"/>
              <w:numPr>
                <w:ilvl w:val="0"/>
                <w:numId w:val="19"/>
              </w:numPr>
              <w:tabs>
                <w:tab w:pos="828" w:val="left" w:leader="none"/>
                <w:tab w:pos="829" w:val="left" w:leader="none"/>
              </w:tabs>
              <w:spacing w:line="206" w:lineRule="exact" w:before="0" w:after="0"/>
              <w:ind w:left="828" w:right="0" w:hanging="361"/>
              <w:jc w:val="left"/>
              <w:rPr>
                <w:sz w:val="18"/>
              </w:rPr>
            </w:pPr>
            <w:r>
              <w:rPr>
                <w:sz w:val="18"/>
              </w:rPr>
              <w:t>intrinsic values of</w:t>
            </w:r>
            <w:r>
              <w:rPr>
                <w:spacing w:val="-1"/>
                <w:sz w:val="18"/>
              </w:rPr>
              <w:t> </w:t>
            </w:r>
            <w:r>
              <w:rPr>
                <w:sz w:val="18"/>
              </w:rPr>
              <w:t>ecosystems.</w:t>
            </w:r>
          </w:p>
          <w:p>
            <w:pPr>
              <w:pStyle w:val="TableParagraph"/>
              <w:numPr>
                <w:ilvl w:val="0"/>
                <w:numId w:val="19"/>
              </w:numPr>
              <w:tabs>
                <w:tab w:pos="828" w:val="left" w:leader="none"/>
                <w:tab w:pos="829" w:val="left" w:leader="none"/>
              </w:tabs>
              <w:spacing w:line="207" w:lineRule="exact" w:before="2" w:after="0"/>
              <w:ind w:left="828" w:right="0" w:hanging="361"/>
              <w:jc w:val="left"/>
              <w:rPr>
                <w:sz w:val="18"/>
              </w:rPr>
            </w:pPr>
            <w:r>
              <w:rPr>
                <w:sz w:val="18"/>
              </w:rPr>
              <w:t>(repealed)</w:t>
            </w:r>
          </w:p>
          <w:p>
            <w:pPr>
              <w:pStyle w:val="TableParagraph"/>
              <w:numPr>
                <w:ilvl w:val="0"/>
                <w:numId w:val="19"/>
              </w:numPr>
              <w:tabs>
                <w:tab w:pos="828" w:val="left" w:leader="none"/>
                <w:tab w:pos="829" w:val="left" w:leader="none"/>
              </w:tabs>
              <w:spacing w:line="240" w:lineRule="auto" w:before="0" w:after="0"/>
              <w:ind w:left="869" w:right="122" w:hanging="402"/>
              <w:jc w:val="left"/>
              <w:rPr>
                <w:sz w:val="18"/>
              </w:rPr>
            </w:pPr>
            <w:r>
              <w:rPr>
                <w:sz w:val="18"/>
              </w:rPr>
              <w:t>maintenance and enhancement of the quality of the environment.</w:t>
            </w:r>
          </w:p>
          <w:p>
            <w:pPr>
              <w:pStyle w:val="TableParagraph"/>
              <w:numPr>
                <w:ilvl w:val="0"/>
                <w:numId w:val="19"/>
              </w:numPr>
              <w:tabs>
                <w:tab w:pos="828" w:val="left" w:leader="none"/>
                <w:tab w:pos="829" w:val="left" w:leader="none"/>
              </w:tabs>
              <w:spacing w:line="240" w:lineRule="auto" w:before="0" w:after="0"/>
              <w:ind w:left="871" w:right="492" w:hanging="404"/>
              <w:jc w:val="left"/>
              <w:rPr>
                <w:sz w:val="18"/>
              </w:rPr>
            </w:pPr>
            <w:r>
              <w:rPr>
                <w:sz w:val="18"/>
              </w:rPr>
              <w:t>any finite characteristics of natural and</w:t>
            </w:r>
            <w:r>
              <w:rPr>
                <w:spacing w:val="-21"/>
                <w:sz w:val="18"/>
              </w:rPr>
              <w:t> </w:t>
            </w:r>
            <w:r>
              <w:rPr>
                <w:sz w:val="18"/>
              </w:rPr>
              <w:t>physical resources.</w:t>
            </w:r>
          </w:p>
          <w:p>
            <w:pPr>
              <w:pStyle w:val="TableParagraph"/>
              <w:numPr>
                <w:ilvl w:val="0"/>
                <w:numId w:val="19"/>
              </w:numPr>
              <w:tabs>
                <w:tab w:pos="828" w:val="left" w:leader="none"/>
                <w:tab w:pos="829" w:val="left" w:leader="none"/>
              </w:tabs>
              <w:spacing w:line="207" w:lineRule="exact" w:before="0" w:after="0"/>
              <w:ind w:left="828" w:right="0" w:hanging="361"/>
              <w:jc w:val="left"/>
              <w:rPr>
                <w:sz w:val="18"/>
              </w:rPr>
            </w:pPr>
            <w:r>
              <w:rPr>
                <w:sz w:val="18"/>
              </w:rPr>
              <w:t>the protection of the habitat of trout and</w:t>
            </w:r>
            <w:r>
              <w:rPr>
                <w:spacing w:val="-13"/>
                <w:sz w:val="18"/>
              </w:rPr>
              <w:t> </w:t>
            </w:r>
            <w:r>
              <w:rPr>
                <w:sz w:val="18"/>
              </w:rPr>
              <w:t>salmon.</w:t>
            </w:r>
          </w:p>
          <w:p>
            <w:pPr>
              <w:pStyle w:val="TableParagraph"/>
              <w:numPr>
                <w:ilvl w:val="0"/>
                <w:numId w:val="19"/>
              </w:numPr>
              <w:tabs>
                <w:tab w:pos="828" w:val="left" w:leader="none"/>
                <w:tab w:pos="829" w:val="left" w:leader="none"/>
              </w:tabs>
              <w:spacing w:line="206" w:lineRule="exact" w:before="0" w:after="0"/>
              <w:ind w:left="828" w:right="0" w:hanging="361"/>
              <w:jc w:val="left"/>
              <w:rPr>
                <w:sz w:val="18"/>
              </w:rPr>
            </w:pPr>
            <w:r>
              <w:rPr>
                <w:sz w:val="18"/>
              </w:rPr>
              <w:t>the effects of climate</w:t>
            </w:r>
            <w:r>
              <w:rPr>
                <w:spacing w:val="-2"/>
                <w:sz w:val="18"/>
              </w:rPr>
              <w:t> </w:t>
            </w:r>
            <w:r>
              <w:rPr>
                <w:sz w:val="18"/>
              </w:rPr>
              <w:t>change.</w:t>
            </w:r>
          </w:p>
          <w:p>
            <w:pPr>
              <w:pStyle w:val="TableParagraph"/>
              <w:numPr>
                <w:ilvl w:val="0"/>
                <w:numId w:val="19"/>
              </w:numPr>
              <w:tabs>
                <w:tab w:pos="828" w:val="left" w:leader="none"/>
                <w:tab w:pos="829" w:val="left" w:leader="none"/>
              </w:tabs>
              <w:spacing w:line="208" w:lineRule="exact" w:before="2" w:after="0"/>
              <w:ind w:left="821" w:right="840" w:hanging="354"/>
              <w:jc w:val="left"/>
              <w:rPr>
                <w:sz w:val="18"/>
              </w:rPr>
            </w:pPr>
            <w:r>
              <w:rPr>
                <w:sz w:val="18"/>
              </w:rPr>
              <w:t>the benefits to be derived from the use and developments of renewable</w:t>
            </w:r>
            <w:r>
              <w:rPr>
                <w:spacing w:val="-5"/>
                <w:sz w:val="18"/>
              </w:rPr>
              <w:t> </w:t>
            </w:r>
            <w:r>
              <w:rPr>
                <w:sz w:val="18"/>
              </w:rPr>
              <w:t>energy.</w:t>
            </w:r>
          </w:p>
        </w:tc>
        <w:tc>
          <w:tcPr>
            <w:tcW w:w="2695" w:type="dxa"/>
          </w:tcPr>
          <w:p>
            <w:pPr>
              <w:pStyle w:val="TableParagraph"/>
              <w:spacing w:before="13"/>
              <w:ind w:left="110" w:right="134"/>
              <w:rPr>
                <w:b/>
                <w:sz w:val="18"/>
              </w:rPr>
            </w:pPr>
            <w:r>
              <w:rPr>
                <w:b/>
                <w:sz w:val="18"/>
              </w:rPr>
              <w:t>Has your activity had regard to these?</w:t>
            </w:r>
          </w:p>
        </w:tc>
        <w:tc>
          <w:tcPr>
            <w:tcW w:w="3118" w:type="dxa"/>
          </w:tcPr>
          <w:p>
            <w:pPr>
              <w:pStyle w:val="TableParagraph"/>
              <w:spacing w:before="13"/>
              <w:ind w:left="108"/>
              <w:rPr>
                <w:b/>
                <w:sz w:val="18"/>
              </w:rPr>
            </w:pPr>
            <w:r>
              <w:rPr>
                <w:b/>
                <w:sz w:val="18"/>
              </w:rPr>
              <w:t>Explanation where relevant</w:t>
            </w:r>
          </w:p>
        </w:tc>
      </w:tr>
      <w:tr>
        <w:trPr>
          <w:trHeight w:val="3381" w:hRule="atLeast"/>
        </w:trPr>
        <w:tc>
          <w:tcPr>
            <w:tcW w:w="5103" w:type="dxa"/>
            <w:vMerge/>
            <w:tcBorders>
              <w:top w:val="nil"/>
            </w:tcBorders>
          </w:tcPr>
          <w:p>
            <w:pPr>
              <w:rPr>
                <w:sz w:val="2"/>
                <w:szCs w:val="2"/>
              </w:rPr>
            </w:pPr>
          </w:p>
        </w:tc>
        <w:tc>
          <w:tcPr>
            <w:tcW w:w="2695" w:type="dxa"/>
          </w:tcPr>
          <w:p>
            <w:pPr>
              <w:pStyle w:val="TableParagraph"/>
              <w:spacing w:before="9"/>
              <w:rPr>
                <w:sz w:val="25"/>
              </w:rPr>
            </w:pPr>
          </w:p>
          <w:p>
            <w:pPr>
              <w:pStyle w:val="TableParagraph"/>
              <w:tabs>
                <w:tab w:pos="1397" w:val="left" w:leader="none"/>
                <w:tab w:pos="2227" w:val="left" w:leader="none"/>
              </w:tabs>
              <w:ind w:left="499"/>
              <w:rPr>
                <w:sz w:val="18"/>
              </w:rPr>
            </w:pPr>
            <w:r>
              <w:rPr>
                <w:sz w:val="18"/>
              </w:rPr>
              <w:t>Yes</w:t>
              <w:tab/>
              <w:t>No</w:t>
              <w:tab/>
              <w:t>N/A</w:t>
            </w:r>
          </w:p>
        </w:tc>
        <w:tc>
          <w:tcPr>
            <w:tcW w:w="3118" w:type="dxa"/>
          </w:tcPr>
          <w:p>
            <w:pPr>
              <w:pStyle w:val="TableParagraph"/>
              <w:rPr>
                <w:rFonts w:ascii="Times New Roman"/>
                <w:sz w:val="18"/>
              </w:rPr>
            </w:pPr>
          </w:p>
        </w:tc>
      </w:tr>
    </w:tbl>
    <w:p>
      <w:pPr>
        <w:pStyle w:val="BodyText"/>
        <w:spacing w:before="5"/>
        <w:rPr>
          <w:sz w:val="27"/>
        </w:rPr>
      </w:pPr>
    </w:p>
    <w:p>
      <w:pPr>
        <w:pStyle w:val="ListParagraph"/>
        <w:numPr>
          <w:ilvl w:val="2"/>
          <w:numId w:val="2"/>
        </w:numPr>
        <w:tabs>
          <w:tab w:pos="993" w:val="left" w:leader="none"/>
        </w:tabs>
        <w:spacing w:line="240" w:lineRule="auto" w:before="1" w:after="0"/>
        <w:ind w:left="992" w:right="0" w:hanging="566"/>
        <w:jc w:val="left"/>
        <w:rPr>
          <w:sz w:val="20"/>
        </w:rPr>
      </w:pPr>
      <w:r>
        <w:rPr/>
        <w:pict>
          <v:rect style="position:absolute;margin-left:302.809998pt;margin-top:57.915878pt;width:13.8pt;height:13.824pt;mso-position-horizontal-relative:page;mso-position-vertical-relative:paragraph;z-index:-41080" filled="false" stroked="true" strokeweight=".72pt" strokecolor="#000000">
            <v:stroke dashstyle="solid"/>
            <w10:wrap type="none"/>
          </v:rect>
        </w:pict>
      </w:r>
      <w:r>
        <w:rPr/>
        <w:pict>
          <v:rect style="position:absolute;margin-left:347.709991pt;margin-top:57.915878pt;width:13.8pt;height:13.824pt;mso-position-horizontal-relative:page;mso-position-vertical-relative:paragraph;z-index:-41056" filled="false" stroked="true" strokeweight=".72pt" strokecolor="#000000">
            <v:stroke dashstyle="solid"/>
            <w10:wrap type="none"/>
          </v:rect>
        </w:pict>
      </w:r>
      <w:r>
        <w:rPr/>
        <w:pict>
          <v:rect style="position:absolute;margin-left:388.630005pt;margin-top:57.915878pt;width:13.8pt;height:13.824pt;mso-position-horizontal-relative:page;mso-position-vertical-relative:paragraph;z-index:-41032" filled="false" stroked="true" strokeweight=".72pt" strokecolor="#000000">
            <v:stroke dashstyle="solid"/>
            <w10:wrap type="none"/>
          </v:rect>
        </w:pict>
      </w:r>
      <w:r>
        <w:rPr>
          <w:sz w:val="20"/>
        </w:rPr>
        <w:t>Section 8 - Treaty of</w:t>
      </w:r>
      <w:r>
        <w:rPr>
          <w:spacing w:val="-7"/>
          <w:sz w:val="20"/>
        </w:rPr>
        <w:t> </w:t>
      </w:r>
      <w:r>
        <w:rPr>
          <w:sz w:val="20"/>
        </w:rPr>
        <w:t>Waitangi</w:t>
      </w:r>
    </w:p>
    <w:p>
      <w:pPr>
        <w:pStyle w:val="BodyText"/>
        <w:spacing w:before="5"/>
        <w:rPr>
          <w:sz w:val="19"/>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7"/>
        <w:gridCol w:w="2693"/>
        <w:gridCol w:w="2976"/>
      </w:tblGrid>
      <w:tr>
        <w:trPr>
          <w:trHeight w:val="453" w:hRule="atLeast"/>
        </w:trPr>
        <w:tc>
          <w:tcPr>
            <w:tcW w:w="5247" w:type="dxa"/>
            <w:vMerge w:val="restart"/>
          </w:tcPr>
          <w:p>
            <w:pPr>
              <w:pStyle w:val="TableParagraph"/>
              <w:rPr>
                <w:sz w:val="20"/>
              </w:rPr>
            </w:pPr>
          </w:p>
          <w:p>
            <w:pPr>
              <w:pStyle w:val="TableParagraph"/>
              <w:rPr>
                <w:sz w:val="20"/>
              </w:rPr>
            </w:pPr>
          </w:p>
          <w:p>
            <w:pPr>
              <w:pStyle w:val="TableParagraph"/>
              <w:spacing w:before="8"/>
              <w:rPr>
                <w:sz w:val="25"/>
              </w:rPr>
            </w:pPr>
          </w:p>
          <w:p>
            <w:pPr>
              <w:pStyle w:val="TableParagraph"/>
              <w:ind w:left="107"/>
              <w:rPr>
                <w:sz w:val="18"/>
              </w:rPr>
            </w:pPr>
            <w:r>
              <w:rPr>
                <w:sz w:val="18"/>
              </w:rPr>
              <w:t>Take into account the principles of the Treaty of Waitangi.</w:t>
            </w:r>
          </w:p>
          <w:p>
            <w:pPr>
              <w:pStyle w:val="TableParagraph"/>
              <w:spacing w:before="119"/>
              <w:ind w:left="107" w:right="37"/>
              <w:rPr>
                <w:sz w:val="18"/>
              </w:rPr>
            </w:pPr>
            <w:r>
              <w:rPr>
                <w:sz w:val="18"/>
              </w:rPr>
              <w:t>The Court of Appeal has identified four principles, which form the basis of developing a relationship of partnership and communication. These are the Essential Bargain, Tribal Self- Regulation, The Treaty Relationship, and Active Protection.</w:t>
            </w:r>
          </w:p>
        </w:tc>
        <w:tc>
          <w:tcPr>
            <w:tcW w:w="2693" w:type="dxa"/>
          </w:tcPr>
          <w:p>
            <w:pPr>
              <w:pStyle w:val="TableParagraph"/>
              <w:spacing w:before="13"/>
              <w:ind w:left="108" w:right="214"/>
              <w:rPr>
                <w:b/>
                <w:sz w:val="18"/>
              </w:rPr>
            </w:pPr>
            <w:r>
              <w:rPr>
                <w:b/>
                <w:sz w:val="18"/>
              </w:rPr>
              <w:t>Has your activity taken into account these?</w:t>
            </w:r>
          </w:p>
        </w:tc>
        <w:tc>
          <w:tcPr>
            <w:tcW w:w="2976" w:type="dxa"/>
          </w:tcPr>
          <w:p>
            <w:pPr>
              <w:pStyle w:val="TableParagraph"/>
              <w:spacing w:before="13"/>
              <w:ind w:left="108"/>
              <w:rPr>
                <w:b/>
                <w:sz w:val="18"/>
              </w:rPr>
            </w:pPr>
            <w:r>
              <w:rPr>
                <w:b/>
                <w:sz w:val="18"/>
              </w:rPr>
              <w:t>Explanation where relevant</w:t>
            </w:r>
          </w:p>
        </w:tc>
      </w:tr>
      <w:tr>
        <w:trPr>
          <w:trHeight w:val="2244" w:hRule="atLeast"/>
        </w:trPr>
        <w:tc>
          <w:tcPr>
            <w:tcW w:w="5247" w:type="dxa"/>
            <w:vMerge/>
            <w:tcBorders>
              <w:top w:val="nil"/>
            </w:tcBorders>
          </w:tcPr>
          <w:p>
            <w:pPr>
              <w:rPr>
                <w:sz w:val="2"/>
                <w:szCs w:val="2"/>
              </w:rPr>
            </w:pPr>
          </w:p>
        </w:tc>
        <w:tc>
          <w:tcPr>
            <w:tcW w:w="2693" w:type="dxa"/>
          </w:tcPr>
          <w:p>
            <w:pPr>
              <w:pStyle w:val="TableParagraph"/>
              <w:rPr>
                <w:sz w:val="26"/>
              </w:rPr>
            </w:pPr>
          </w:p>
          <w:p>
            <w:pPr>
              <w:pStyle w:val="TableParagraph"/>
              <w:tabs>
                <w:tab w:pos="1394" w:val="left" w:leader="none"/>
                <w:tab w:pos="2225" w:val="left" w:leader="none"/>
              </w:tabs>
              <w:ind w:left="496"/>
              <w:rPr>
                <w:sz w:val="18"/>
              </w:rPr>
            </w:pPr>
            <w:r>
              <w:rPr>
                <w:sz w:val="18"/>
              </w:rPr>
              <w:t>Yes</w:t>
              <w:tab/>
              <w:t>No</w:t>
              <w:tab/>
              <w:t>N/A</w:t>
            </w:r>
          </w:p>
        </w:tc>
        <w:tc>
          <w:tcPr>
            <w:tcW w:w="2976"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line style="position:absolute;mso-position-horizontal-relative:page;mso-position-vertical-relative:paragraph;z-index:3448" from="22.92pt,29.033936pt" to="574.78pt,29.033936pt" stroked="true" strokeweight=".48pt" strokecolor="#000000">
            <v:stroke dashstyle="solid"/>
            <w10:wrap type="none"/>
          </v:line>
        </w:pict>
      </w:r>
      <w:r>
        <w:rPr/>
        <w:pict>
          <v:rect style="position:absolute;margin-left:288.649994pt;margin-top:618.459961pt;width:13.8pt;height:13.8pt;mso-position-horizontal-relative:page;mso-position-vertical-relative:page;z-index:-40792" filled="false" stroked="true" strokeweight=".72pt" strokecolor="#000000">
            <v:stroke dashstyle="solid"/>
            <w10:wrap type="none"/>
          </v:rect>
        </w:pict>
      </w:r>
      <w:r>
        <w:rPr/>
        <w:pict>
          <v:rect style="position:absolute;margin-left:333.549988pt;margin-top:618.459961pt;width:13.8pt;height:13.8pt;mso-position-horizontal-relative:page;mso-position-vertical-relative:page;z-index:-40768" filled="false" stroked="true" strokeweight=".72pt" strokecolor="#000000">
            <v:stroke dashstyle="solid"/>
            <w10:wrap type="none"/>
          </v:rect>
        </w:pict>
      </w:r>
      <w:r>
        <w:rPr/>
        <w:pict>
          <v:rect style="position:absolute;margin-left:374.470001pt;margin-top:618.459961pt;width:13.8pt;height:13.8pt;mso-position-horizontal-relative:page;mso-position-vertical-relative:page;z-index:-40744" filled="false" stroked="true" strokeweight=".72pt" strokecolor="#000000">
            <v:stroke dashstyle="solid"/>
            <w10:wrap type="none"/>
          </v:rect>
        </w:pict>
      </w:r>
      <w:r>
        <w:rPr/>
        <w:pict>
          <v:rect style="position:absolute;margin-left:288.649994pt;margin-top:704.73999pt;width:13.8pt;height:13.8pt;mso-position-horizontal-relative:page;mso-position-vertical-relative:page;z-index:-40720" filled="false" stroked="true" strokeweight=".72pt" strokecolor="#000000">
            <v:stroke dashstyle="solid"/>
            <w10:wrap type="none"/>
          </v:rect>
        </w:pict>
      </w:r>
      <w:r>
        <w:rPr/>
        <w:pict>
          <v:rect style="position:absolute;margin-left:333.549988pt;margin-top:704.73999pt;width:13.8pt;height:13.8pt;mso-position-horizontal-relative:page;mso-position-vertical-relative:page;z-index:-40696" filled="false" stroked="true" strokeweight=".72pt" strokecolor="#000000">
            <v:stroke dashstyle="solid"/>
            <w10:wrap type="none"/>
          </v:rect>
        </w:pict>
      </w:r>
      <w:r>
        <w:rPr/>
        <w:pict>
          <v:rect style="position:absolute;margin-left:374.470001pt;margin-top:704.73999pt;width:13.8pt;height:13.8pt;mso-position-horizontal-relative:page;mso-position-vertical-relative:page;z-index:-40672" filled="false" stroked="true" strokeweight=".72pt" strokecolor="#000000">
            <v:stroke dashstyle="solid"/>
            <w10:wrap type="none"/>
          </v:rect>
        </w:pict>
      </w:r>
      <w:r>
        <w:rPr/>
        <w:t>APPLICATION TO USE LAND FOR FARMING ACTIVITY IN</w:t>
      </w:r>
      <w:r>
        <w:rPr>
          <w:spacing w:val="-18"/>
        </w:rPr>
        <w:t> </w:t>
      </w:r>
      <w:r>
        <w:rPr/>
        <w:t>ORANGE ZONE</w:t>
        <w:tab/>
        <w:t>PAGE 9</w:t>
      </w:r>
      <w:r>
        <w:rPr>
          <w:spacing w:val="-2"/>
        </w:rPr>
        <w:t> </w:t>
      </w:r>
      <w:r>
        <w:rPr/>
        <w:t>OF 15</w:t>
        <w:tab/>
        <w:t>March 2016</w:t>
      </w:r>
    </w:p>
    <w:p>
      <w:pPr>
        <w:pStyle w:val="BodyText"/>
        <w:rPr>
          <w:sz w:val="25"/>
        </w:rPr>
      </w:pPr>
      <w:r>
        <w:rPr/>
        <w:pict>
          <v:shape style="position:absolute;margin-left:12.96pt;margin-top:15.609179pt;width:562.3pt;height:25.6pt;mso-position-horizontal-relative:page;mso-position-vertical-relative:paragraph;z-index:1304;mso-wrap-distance-left:0;mso-wrap-distance-right:0" type="#_x0000_t202" filled="true" fillcolor="#000000" stroked="false">
            <v:textbox inset="0,0,0,0">
              <w:txbxContent>
                <w:p>
                  <w:pPr>
                    <w:tabs>
                      <w:tab w:pos="739" w:val="left" w:leader="none"/>
                    </w:tabs>
                    <w:spacing w:line="242" w:lineRule="auto" w:before="21"/>
                    <w:ind w:left="739" w:right="1757" w:hanging="432"/>
                    <w:jc w:val="left"/>
                    <w:rPr>
                      <w:b/>
                      <w:sz w:val="20"/>
                    </w:rPr>
                  </w:pPr>
                  <w:r>
                    <w:rPr>
                      <w:b/>
                      <w:color w:val="FFFFFF"/>
                      <w:sz w:val="20"/>
                    </w:rPr>
                    <w:t>2</w:t>
                    <w:tab/>
                    <w:t>SECTION TWO: RELEVANT KAUPAPA (POLICIES) AND OBJECTIVES FROM NGĀI TAHU</w:t>
                  </w:r>
                  <w:r>
                    <w:rPr>
                      <w:b/>
                      <w:color w:val="FFFFFF"/>
                      <w:spacing w:val="-39"/>
                      <w:sz w:val="20"/>
                    </w:rPr>
                    <w:t> </w:t>
                  </w:r>
                  <w:r>
                    <w:rPr>
                      <w:b/>
                      <w:color w:val="FFFFFF"/>
                      <w:sz w:val="20"/>
                    </w:rPr>
                    <w:t>IWI MANAGEMENT PLANS (IMPs)</w:t>
                  </w:r>
                </w:p>
              </w:txbxContent>
            </v:textbox>
            <v:fill type="solid"/>
            <w10:wrap type="topAndBottom"/>
          </v:shape>
        </w:pict>
      </w:r>
    </w:p>
    <w:p>
      <w:pPr>
        <w:pStyle w:val="BodyText"/>
        <w:spacing w:before="8"/>
        <w:rPr>
          <w:sz w:val="11"/>
        </w:rPr>
      </w:pPr>
    </w:p>
    <w:p>
      <w:pPr>
        <w:pStyle w:val="Heading3"/>
        <w:spacing w:before="94"/>
        <w:ind w:right="858"/>
      </w:pPr>
      <w:r>
        <w:rPr/>
        <w:pict>
          <v:line style="position:absolute;mso-position-horizontal-relative:page;mso-position-vertical-relative:paragraph;z-index:3472" from="22.92pt,-7.498076pt" to="574.78pt,-7.498076pt" stroked="true" strokeweight=".48pt" strokecolor="#000000">
            <v:stroke dashstyle="solid"/>
            <w10:wrap type="none"/>
          </v:line>
        </w:pict>
      </w:r>
      <w:r>
        <w:rPr/>
        <w:t>As part of your application (required under s88 of the Resource Management Act), you should consider your proposal against the policies (kaupapa) and objectives of the relevant IMPs for your location.</w:t>
      </w:r>
    </w:p>
    <w:p>
      <w:pPr>
        <w:spacing w:before="61"/>
        <w:ind w:left="426" w:right="648" w:firstLine="0"/>
        <w:jc w:val="left"/>
        <w:rPr>
          <w:sz w:val="18"/>
        </w:rPr>
      </w:pPr>
      <w:r>
        <w:rPr>
          <w:sz w:val="18"/>
        </w:rPr>
        <w:t>The Ngāi Tahu Freshwater Policy Statement applies to all areas of Canterbury. You should therefore assess your activity against all of the listed policies and objectives.</w:t>
      </w:r>
    </w:p>
    <w:p>
      <w:pPr>
        <w:spacing w:before="59"/>
        <w:ind w:left="426" w:right="858" w:firstLine="0"/>
        <w:jc w:val="left"/>
        <w:rPr>
          <w:sz w:val="18"/>
        </w:rPr>
      </w:pPr>
      <w:r>
        <w:rPr/>
        <w:pict>
          <v:group style="position:absolute;margin-left:15.72pt;margin-top:30.3319pt;width:525pt;height:29.55pt;mso-position-horizontal-relative:page;mso-position-vertical-relative:paragraph;z-index:1352;mso-wrap-distance-left:0;mso-wrap-distance-right:0" coordorigin="314,607" coordsize="10500,591">
            <v:rect style="position:absolute;left:319;top:611;width:10491;height:581" filled="true" fillcolor="#ffffff" stroked="false">
              <v:fill type="solid"/>
            </v:rect>
            <v:shape style="position:absolute;left:319;top:611;width:10491;height:581" type="#_x0000_t202" filled="false" stroked="true" strokeweight=".48pt" strokecolor="#000000">
              <v:textbox inset="0,0,0,0">
                <w:txbxContent>
                  <w:p>
                    <w:pPr>
                      <w:spacing w:before="71"/>
                      <w:ind w:left="143" w:right="393" w:firstLine="50"/>
                      <w:jc w:val="left"/>
                      <w:rPr>
                        <w:i/>
                        <w:sz w:val="18"/>
                      </w:rPr>
                    </w:pPr>
                    <w:r>
                      <w:rPr>
                        <w:i/>
                        <w:color w:val="585858"/>
                        <w:sz w:val="18"/>
                      </w:rPr>
                      <w:t>Note: Please refer to </w:t>
                    </w:r>
                    <w:hyperlink r:id="rId12">
                      <w:r>
                        <w:rPr>
                          <w:i/>
                          <w:color w:val="0000FF"/>
                          <w:sz w:val="18"/>
                          <w:u w:val="single" w:color="0000FF"/>
                        </w:rPr>
                        <w:t>http://canterburymaps.govt.nz/</w:t>
                      </w:r>
                      <w:r>
                        <w:rPr>
                          <w:i/>
                          <w:color w:val="0000FF"/>
                          <w:sz w:val="18"/>
                        </w:rPr>
                        <w:t> </w:t>
                      </w:r>
                    </w:hyperlink>
                    <w:r>
                      <w:rPr>
                        <w:i/>
                        <w:color w:val="585858"/>
                        <w:sz w:val="18"/>
                      </w:rPr>
                      <w:t>and search “Farming Activity Resource Consents” to find information on </w:t>
                    </w:r>
                    <w:r>
                      <w:rPr>
                        <w:i/>
                        <w:color w:val="585858"/>
                        <w:sz w:val="18"/>
                      </w:rPr>
                      <w:t>areas of Papatipu rūnanga</w:t>
                    </w:r>
                  </w:p>
                </w:txbxContent>
              </v:textbox>
              <v:stroke dashstyle="solid"/>
              <w10:wrap type="none"/>
            </v:shape>
            <w10:wrap type="topAndBottom"/>
          </v:group>
        </w:pict>
      </w:r>
      <w:r>
        <w:rPr/>
        <w:pict>
          <v:shape style="position:absolute;margin-left:28.32pt;margin-top:30.964439pt;width:2.550pt;height:10.1pt;mso-position-horizontal-relative:page;mso-position-vertical-relative:paragraph;z-index:-40936" type="#_x0000_t202" filled="false" stroked="false">
            <v:textbox inset="0,0,0,0">
              <w:txbxContent>
                <w:p>
                  <w:pPr>
                    <w:spacing w:line="201" w:lineRule="exact" w:before="0"/>
                    <w:ind w:left="0" w:right="0" w:firstLine="0"/>
                    <w:jc w:val="left"/>
                    <w:rPr>
                      <w:sz w:val="18"/>
                    </w:rPr>
                  </w:pPr>
                  <w:r>
                    <w:rPr>
                      <w:w w:val="100"/>
                      <w:sz w:val="18"/>
                    </w:rPr>
                    <w:t>.</w:t>
                  </w:r>
                </w:p>
              </w:txbxContent>
            </v:textbox>
            <w10:wrap type="none"/>
          </v:shape>
        </w:pict>
      </w:r>
      <w:r>
        <w:rPr>
          <w:sz w:val="18"/>
        </w:rPr>
        <w:t>Next determine the relevant Papatipu rūnanga in relation to your farm and assess your activity against the policies and objectives listed under the relevant IMP.</w:t>
      </w:r>
    </w:p>
    <w:p>
      <w:pPr>
        <w:pStyle w:val="BodyText"/>
        <w:spacing w:before="5"/>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2295"/>
        <w:gridCol w:w="3444"/>
        <w:gridCol w:w="2535"/>
      </w:tblGrid>
      <w:tr>
        <w:trPr>
          <w:trHeight w:val="659" w:hRule="atLeast"/>
        </w:trPr>
        <w:tc>
          <w:tcPr>
            <w:tcW w:w="2230" w:type="dxa"/>
          </w:tcPr>
          <w:p>
            <w:pPr>
              <w:pStyle w:val="TableParagraph"/>
              <w:spacing w:before="13"/>
              <w:ind w:left="107" w:right="1323"/>
              <w:rPr>
                <w:b/>
                <w:sz w:val="18"/>
              </w:rPr>
            </w:pPr>
            <w:r>
              <w:rPr>
                <w:b/>
                <w:sz w:val="18"/>
              </w:rPr>
              <w:t>Papatipu Rūnanga</w:t>
            </w:r>
          </w:p>
        </w:tc>
        <w:tc>
          <w:tcPr>
            <w:tcW w:w="2295" w:type="dxa"/>
          </w:tcPr>
          <w:p>
            <w:pPr>
              <w:pStyle w:val="TableParagraph"/>
              <w:spacing w:before="13"/>
              <w:ind w:left="107"/>
              <w:rPr>
                <w:b/>
                <w:sz w:val="18"/>
              </w:rPr>
            </w:pPr>
            <w:r>
              <w:rPr>
                <w:b/>
                <w:sz w:val="18"/>
              </w:rPr>
              <w:t>Name of IMP</w:t>
            </w:r>
          </w:p>
        </w:tc>
        <w:tc>
          <w:tcPr>
            <w:tcW w:w="3444" w:type="dxa"/>
          </w:tcPr>
          <w:p>
            <w:pPr>
              <w:pStyle w:val="TableParagraph"/>
              <w:spacing w:before="13"/>
              <w:ind w:left="107"/>
              <w:rPr>
                <w:b/>
                <w:sz w:val="18"/>
              </w:rPr>
            </w:pPr>
            <w:r>
              <w:rPr>
                <w:b/>
                <w:sz w:val="18"/>
              </w:rPr>
              <w:t>Areas applies to</w:t>
            </w:r>
          </w:p>
        </w:tc>
        <w:tc>
          <w:tcPr>
            <w:tcW w:w="2535" w:type="dxa"/>
          </w:tcPr>
          <w:p>
            <w:pPr>
              <w:pStyle w:val="TableParagraph"/>
              <w:spacing w:before="13"/>
              <w:ind w:left="108" w:right="1162"/>
              <w:jc w:val="both"/>
              <w:rPr>
                <w:b/>
                <w:sz w:val="18"/>
              </w:rPr>
            </w:pPr>
            <w:r>
              <w:rPr>
                <w:b/>
                <w:sz w:val="18"/>
              </w:rPr>
              <w:t>Sub-section of this form to be completed</w:t>
            </w:r>
          </w:p>
        </w:tc>
      </w:tr>
      <w:tr>
        <w:trPr>
          <w:trHeight w:val="247" w:hRule="atLeast"/>
        </w:trPr>
        <w:tc>
          <w:tcPr>
            <w:tcW w:w="2230" w:type="dxa"/>
            <w:vMerge w:val="restart"/>
          </w:tcPr>
          <w:p>
            <w:pPr>
              <w:pStyle w:val="TableParagraph"/>
              <w:spacing w:before="18"/>
              <w:ind w:left="107"/>
              <w:rPr>
                <w:sz w:val="18"/>
              </w:rPr>
            </w:pPr>
            <w:r>
              <w:rPr>
                <w:sz w:val="18"/>
              </w:rPr>
              <w:t>Kaikōura</w:t>
            </w:r>
          </w:p>
        </w:tc>
        <w:tc>
          <w:tcPr>
            <w:tcW w:w="2295" w:type="dxa"/>
            <w:vMerge w:val="restart"/>
          </w:tcPr>
          <w:p>
            <w:pPr>
              <w:pStyle w:val="TableParagraph"/>
              <w:spacing w:before="18"/>
              <w:ind w:left="107" w:right="1027"/>
              <w:rPr>
                <w:sz w:val="18"/>
              </w:rPr>
            </w:pPr>
            <w:r>
              <w:rPr>
                <w:sz w:val="18"/>
              </w:rPr>
              <w:t>Te Poha O Tohu Raumati</w:t>
            </w:r>
          </w:p>
        </w:tc>
        <w:tc>
          <w:tcPr>
            <w:tcW w:w="3444" w:type="dxa"/>
          </w:tcPr>
          <w:p>
            <w:pPr>
              <w:pStyle w:val="TableParagraph"/>
              <w:spacing w:before="18"/>
              <w:ind w:left="107"/>
              <w:rPr>
                <w:sz w:val="18"/>
              </w:rPr>
            </w:pPr>
            <w:r>
              <w:rPr>
                <w:sz w:val="18"/>
              </w:rPr>
              <w:t>Hapuku River to the Conway River</w:t>
            </w:r>
          </w:p>
        </w:tc>
        <w:tc>
          <w:tcPr>
            <w:tcW w:w="2535" w:type="dxa"/>
          </w:tcPr>
          <w:p>
            <w:pPr>
              <w:pStyle w:val="TableParagraph"/>
              <w:spacing w:before="18"/>
              <w:ind w:left="108"/>
              <w:rPr>
                <w:sz w:val="18"/>
              </w:rPr>
            </w:pPr>
            <w:r>
              <w:rPr>
                <w:sz w:val="18"/>
              </w:rPr>
              <w:t>2.2.1</w:t>
            </w:r>
          </w:p>
        </w:tc>
      </w:tr>
      <w:tr>
        <w:trPr>
          <w:trHeight w:val="868" w:hRule="atLeast"/>
        </w:trPr>
        <w:tc>
          <w:tcPr>
            <w:tcW w:w="2230" w:type="dxa"/>
            <w:vMerge/>
            <w:tcBorders>
              <w:top w:val="nil"/>
            </w:tcBorders>
          </w:tcPr>
          <w:p>
            <w:pPr>
              <w:rPr>
                <w:sz w:val="2"/>
                <w:szCs w:val="2"/>
              </w:rPr>
            </w:pPr>
          </w:p>
        </w:tc>
        <w:tc>
          <w:tcPr>
            <w:tcW w:w="2295" w:type="dxa"/>
            <w:vMerge/>
            <w:tcBorders>
              <w:top w:val="nil"/>
            </w:tcBorders>
          </w:tcPr>
          <w:p>
            <w:pPr>
              <w:rPr>
                <w:sz w:val="2"/>
                <w:szCs w:val="2"/>
              </w:rPr>
            </w:pPr>
          </w:p>
        </w:tc>
        <w:tc>
          <w:tcPr>
            <w:tcW w:w="3444" w:type="dxa"/>
          </w:tcPr>
          <w:p>
            <w:pPr>
              <w:pStyle w:val="TableParagraph"/>
              <w:spacing w:before="18"/>
              <w:ind w:left="107" w:right="185"/>
              <w:rPr>
                <w:sz w:val="18"/>
              </w:rPr>
            </w:pPr>
            <w:r>
              <w:rPr>
                <w:sz w:val="18"/>
              </w:rPr>
              <w:t>Conway River to the Hurunui River and inland to the main</w:t>
            </w:r>
          </w:p>
          <w:p>
            <w:pPr>
              <w:pStyle w:val="TableParagraph"/>
              <w:spacing w:before="1"/>
              <w:ind w:left="107"/>
              <w:rPr>
                <w:sz w:val="18"/>
              </w:rPr>
            </w:pPr>
            <w:r>
              <w:rPr>
                <w:sz w:val="18"/>
              </w:rPr>
              <w:t>divide</w:t>
            </w:r>
          </w:p>
        </w:tc>
        <w:tc>
          <w:tcPr>
            <w:tcW w:w="2535" w:type="dxa"/>
          </w:tcPr>
          <w:p>
            <w:pPr>
              <w:pStyle w:val="TableParagraph"/>
              <w:spacing w:before="18"/>
              <w:ind w:left="108"/>
              <w:rPr>
                <w:sz w:val="18"/>
              </w:rPr>
            </w:pPr>
            <w:r>
              <w:rPr>
                <w:sz w:val="18"/>
              </w:rPr>
              <w:t>2.2.2</w:t>
            </w:r>
          </w:p>
        </w:tc>
      </w:tr>
      <w:tr>
        <w:trPr>
          <w:trHeight w:val="246" w:hRule="atLeast"/>
        </w:trPr>
        <w:tc>
          <w:tcPr>
            <w:tcW w:w="2230" w:type="dxa"/>
            <w:vMerge/>
            <w:tcBorders>
              <w:top w:val="nil"/>
            </w:tcBorders>
          </w:tcPr>
          <w:p>
            <w:pPr>
              <w:rPr>
                <w:sz w:val="2"/>
                <w:szCs w:val="2"/>
              </w:rPr>
            </w:pPr>
          </w:p>
        </w:tc>
        <w:tc>
          <w:tcPr>
            <w:tcW w:w="2295" w:type="dxa"/>
            <w:vMerge/>
            <w:tcBorders>
              <w:top w:val="nil"/>
            </w:tcBorders>
          </w:tcPr>
          <w:p>
            <w:pPr>
              <w:rPr>
                <w:sz w:val="2"/>
                <w:szCs w:val="2"/>
              </w:rPr>
            </w:pPr>
          </w:p>
        </w:tc>
        <w:tc>
          <w:tcPr>
            <w:tcW w:w="3444" w:type="dxa"/>
          </w:tcPr>
          <w:p>
            <w:pPr>
              <w:pStyle w:val="TableParagraph"/>
              <w:spacing w:before="18"/>
              <w:ind w:left="107"/>
              <w:rPr>
                <w:sz w:val="18"/>
              </w:rPr>
            </w:pPr>
            <w:r>
              <w:rPr>
                <w:sz w:val="18"/>
              </w:rPr>
              <w:t>Coastal area</w:t>
            </w:r>
          </w:p>
        </w:tc>
        <w:tc>
          <w:tcPr>
            <w:tcW w:w="2535" w:type="dxa"/>
          </w:tcPr>
          <w:p>
            <w:pPr>
              <w:pStyle w:val="TableParagraph"/>
              <w:spacing w:before="18"/>
              <w:ind w:left="108"/>
              <w:rPr>
                <w:sz w:val="18"/>
              </w:rPr>
            </w:pPr>
            <w:r>
              <w:rPr>
                <w:sz w:val="18"/>
              </w:rPr>
              <w:t>2.2.3</w:t>
            </w:r>
          </w:p>
        </w:tc>
      </w:tr>
      <w:tr>
        <w:trPr>
          <w:trHeight w:val="1074" w:hRule="atLeast"/>
        </w:trPr>
        <w:tc>
          <w:tcPr>
            <w:tcW w:w="2230" w:type="dxa"/>
          </w:tcPr>
          <w:p>
            <w:pPr>
              <w:pStyle w:val="TableParagraph"/>
              <w:spacing w:before="18"/>
              <w:ind w:left="107" w:right="161"/>
              <w:rPr>
                <w:sz w:val="18"/>
              </w:rPr>
            </w:pPr>
            <w:r>
              <w:rPr>
                <w:sz w:val="18"/>
              </w:rPr>
              <w:t>Te Taumutu, Te Ngāi Tūāhuriri, Te Hapū o Ngāti Wheke (Rāpaki), Ōnuku, Koukourārata, &amp; Wairewa Rūnanga</w:t>
            </w:r>
          </w:p>
        </w:tc>
        <w:tc>
          <w:tcPr>
            <w:tcW w:w="2295" w:type="dxa"/>
          </w:tcPr>
          <w:p>
            <w:pPr>
              <w:pStyle w:val="TableParagraph"/>
              <w:spacing w:before="18"/>
              <w:ind w:left="107" w:right="697"/>
              <w:rPr>
                <w:sz w:val="18"/>
              </w:rPr>
            </w:pPr>
            <w:r>
              <w:rPr>
                <w:sz w:val="18"/>
              </w:rPr>
              <w:t>Mahaanui Iwi Management Plan</w:t>
            </w:r>
          </w:p>
        </w:tc>
        <w:tc>
          <w:tcPr>
            <w:tcW w:w="3444" w:type="dxa"/>
          </w:tcPr>
          <w:p>
            <w:pPr>
              <w:pStyle w:val="TableParagraph"/>
              <w:spacing w:before="18"/>
              <w:ind w:left="107" w:right="105"/>
              <w:rPr>
                <w:sz w:val="18"/>
              </w:rPr>
            </w:pPr>
            <w:r>
              <w:rPr>
                <w:sz w:val="18"/>
              </w:rPr>
              <w:t>From the Hurunui River to the Hakatere/ Ashburton River</w:t>
            </w:r>
          </w:p>
        </w:tc>
        <w:tc>
          <w:tcPr>
            <w:tcW w:w="2535" w:type="dxa"/>
          </w:tcPr>
          <w:p>
            <w:pPr>
              <w:pStyle w:val="TableParagraph"/>
              <w:spacing w:before="18"/>
              <w:ind w:left="108"/>
              <w:rPr>
                <w:sz w:val="18"/>
              </w:rPr>
            </w:pPr>
            <w:r>
              <w:rPr>
                <w:sz w:val="18"/>
              </w:rPr>
              <w:t>2.3</w:t>
            </w:r>
          </w:p>
        </w:tc>
      </w:tr>
      <w:tr>
        <w:trPr>
          <w:trHeight w:val="661" w:hRule="atLeast"/>
        </w:trPr>
        <w:tc>
          <w:tcPr>
            <w:tcW w:w="2230" w:type="dxa"/>
          </w:tcPr>
          <w:p>
            <w:pPr>
              <w:pStyle w:val="TableParagraph"/>
              <w:spacing w:before="18"/>
              <w:ind w:left="107" w:right="351"/>
              <w:rPr>
                <w:sz w:val="18"/>
              </w:rPr>
            </w:pPr>
            <w:r>
              <w:rPr>
                <w:sz w:val="18"/>
              </w:rPr>
              <w:t>Arowhenua &amp; Waihao Rūnanga</w:t>
            </w:r>
          </w:p>
        </w:tc>
        <w:tc>
          <w:tcPr>
            <w:tcW w:w="2295" w:type="dxa"/>
          </w:tcPr>
          <w:p>
            <w:pPr>
              <w:pStyle w:val="TableParagraph"/>
              <w:spacing w:before="18"/>
              <w:ind w:left="107" w:right="214"/>
              <w:jc w:val="both"/>
              <w:rPr>
                <w:sz w:val="18"/>
              </w:rPr>
            </w:pPr>
            <w:r>
              <w:rPr>
                <w:sz w:val="18"/>
              </w:rPr>
              <w:t>Iwi Management Plan of Kati Huirapa for the area Rakaia to Waitaki</w:t>
            </w:r>
          </w:p>
        </w:tc>
        <w:tc>
          <w:tcPr>
            <w:tcW w:w="3444" w:type="dxa"/>
          </w:tcPr>
          <w:p>
            <w:pPr>
              <w:pStyle w:val="TableParagraph"/>
              <w:spacing w:before="18"/>
              <w:ind w:left="107"/>
              <w:rPr>
                <w:sz w:val="18"/>
              </w:rPr>
            </w:pPr>
            <w:r>
              <w:rPr>
                <w:sz w:val="18"/>
              </w:rPr>
              <w:t>Rakaia to Waitaki Rivers</w:t>
            </w:r>
          </w:p>
        </w:tc>
        <w:tc>
          <w:tcPr>
            <w:tcW w:w="2535" w:type="dxa"/>
          </w:tcPr>
          <w:p>
            <w:pPr>
              <w:pStyle w:val="TableParagraph"/>
              <w:spacing w:before="18"/>
              <w:ind w:left="108"/>
              <w:rPr>
                <w:sz w:val="18"/>
              </w:rPr>
            </w:pPr>
            <w:r>
              <w:rPr>
                <w:sz w:val="18"/>
              </w:rPr>
              <w:t>2.4</w:t>
            </w:r>
          </w:p>
        </w:tc>
      </w:tr>
      <w:tr>
        <w:trPr>
          <w:trHeight w:val="660" w:hRule="atLeast"/>
        </w:trPr>
        <w:tc>
          <w:tcPr>
            <w:tcW w:w="2230" w:type="dxa"/>
          </w:tcPr>
          <w:p>
            <w:pPr>
              <w:pStyle w:val="TableParagraph"/>
              <w:spacing w:before="18"/>
              <w:ind w:left="107"/>
              <w:rPr>
                <w:sz w:val="18"/>
              </w:rPr>
            </w:pPr>
            <w:r>
              <w:rPr>
                <w:sz w:val="18"/>
              </w:rPr>
              <w:t>Moeraki &amp; Waihao</w:t>
            </w:r>
          </w:p>
        </w:tc>
        <w:tc>
          <w:tcPr>
            <w:tcW w:w="2295" w:type="dxa"/>
          </w:tcPr>
          <w:p>
            <w:pPr>
              <w:pStyle w:val="TableParagraph"/>
              <w:spacing w:before="18"/>
              <w:ind w:left="107" w:right="56"/>
              <w:rPr>
                <w:sz w:val="18"/>
              </w:rPr>
            </w:pPr>
            <w:r>
              <w:rPr>
                <w:sz w:val="18"/>
              </w:rPr>
              <w:t>Kai Tahu Ki Otago Natural Resource Management Plan</w:t>
            </w:r>
          </w:p>
        </w:tc>
        <w:tc>
          <w:tcPr>
            <w:tcW w:w="3444" w:type="dxa"/>
          </w:tcPr>
          <w:p>
            <w:pPr>
              <w:pStyle w:val="TableParagraph"/>
              <w:spacing w:before="18"/>
              <w:ind w:left="107"/>
              <w:rPr>
                <w:sz w:val="18"/>
              </w:rPr>
            </w:pPr>
            <w:r>
              <w:rPr>
                <w:sz w:val="18"/>
              </w:rPr>
              <w:t>Waitaki Catchment</w:t>
            </w:r>
          </w:p>
        </w:tc>
        <w:tc>
          <w:tcPr>
            <w:tcW w:w="2535" w:type="dxa"/>
          </w:tcPr>
          <w:p>
            <w:pPr>
              <w:pStyle w:val="TableParagraph"/>
              <w:spacing w:before="18"/>
              <w:ind w:left="108"/>
              <w:rPr>
                <w:sz w:val="18"/>
              </w:rPr>
            </w:pPr>
            <w:r>
              <w:rPr>
                <w:sz w:val="18"/>
              </w:rPr>
              <w:t>2.5</w:t>
            </w:r>
          </w:p>
        </w:tc>
      </w:tr>
    </w:tbl>
    <w:p>
      <w:pPr>
        <w:pStyle w:val="BodyText"/>
        <w:rPr>
          <w:sz w:val="20"/>
        </w:rPr>
      </w:pPr>
    </w:p>
    <w:p>
      <w:pPr>
        <w:pStyle w:val="BodyText"/>
        <w:spacing w:before="6"/>
        <w:rPr>
          <w:sz w:val="18"/>
        </w:rPr>
      </w:pPr>
    </w:p>
    <w:p>
      <w:pPr>
        <w:pStyle w:val="ListParagraph"/>
        <w:numPr>
          <w:ilvl w:val="1"/>
          <w:numId w:val="20"/>
        </w:numPr>
        <w:tabs>
          <w:tab w:pos="1002" w:val="left" w:leader="none"/>
          <w:tab w:pos="1003" w:val="left" w:leader="none"/>
        </w:tabs>
        <w:spacing w:line="240" w:lineRule="auto" w:before="0" w:after="0"/>
        <w:ind w:left="1002" w:right="0" w:hanging="576"/>
        <w:jc w:val="left"/>
        <w:rPr>
          <w:sz w:val="18"/>
        </w:rPr>
      </w:pPr>
      <w:r>
        <w:rPr/>
        <w:pict>
          <v:rect style="position:absolute;margin-left:288.649994pt;margin-top:57.761906pt;width:13.8pt;height:13.8pt;mso-position-horizontal-relative:page;mso-position-vertical-relative:paragraph;z-index:-40864" filled="false" stroked="true" strokeweight=".72pt" strokecolor="#000000">
            <v:stroke dashstyle="solid"/>
            <w10:wrap type="none"/>
          </v:rect>
        </w:pict>
      </w:r>
      <w:r>
        <w:rPr/>
        <w:pict>
          <v:rect style="position:absolute;margin-left:333.549988pt;margin-top:57.761906pt;width:13.8pt;height:13.8pt;mso-position-horizontal-relative:page;mso-position-vertical-relative:paragraph;z-index:-40840" filled="false" stroked="true" strokeweight=".72pt" strokecolor="#000000">
            <v:stroke dashstyle="solid"/>
            <w10:wrap type="none"/>
          </v:rect>
        </w:pict>
      </w:r>
      <w:r>
        <w:rPr/>
        <w:pict>
          <v:rect style="position:absolute;margin-left:374.470001pt;margin-top:57.761906pt;width:13.8pt;height:13.8pt;mso-position-horizontal-relative:page;mso-position-vertical-relative:paragraph;z-index:-40816" filled="false" stroked="true" strokeweight=".72pt" strokecolor="#000000">
            <v:stroke dashstyle="solid"/>
            <w10:wrap type="none"/>
          </v:rect>
        </w:pict>
      </w:r>
      <w:r>
        <w:rPr>
          <w:b/>
          <w:sz w:val="18"/>
        </w:rPr>
        <w:t>NGĀI TAHU FRESHWATER POLICY STATEMENT </w:t>
      </w:r>
      <w:r>
        <w:rPr>
          <w:sz w:val="18"/>
        </w:rPr>
        <w:t>(ALL AREAS OF CANTERBURY)</w:t>
      </w:r>
    </w:p>
    <w:p>
      <w:pPr>
        <w:pStyle w:val="BodyText"/>
        <w:spacing w:before="3"/>
        <w:rPr>
          <w:sz w:val="21"/>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9"/>
        <w:gridCol w:w="3965"/>
        <w:gridCol w:w="2693"/>
        <w:gridCol w:w="3260"/>
      </w:tblGrid>
      <w:tr>
        <w:trPr>
          <w:trHeight w:val="453" w:hRule="atLeast"/>
        </w:trPr>
        <w:tc>
          <w:tcPr>
            <w:tcW w:w="4964" w:type="dxa"/>
            <w:gridSpan w:val="2"/>
          </w:tcPr>
          <w:p>
            <w:pPr>
              <w:pStyle w:val="TableParagraph"/>
              <w:spacing w:before="119"/>
              <w:ind w:left="107"/>
              <w:rPr>
                <w:b/>
                <w:sz w:val="18"/>
              </w:rPr>
            </w:pPr>
            <w:r>
              <w:rPr>
                <w:b/>
                <w:sz w:val="18"/>
              </w:rPr>
              <w:t>Kaupapa</w:t>
            </w:r>
          </w:p>
        </w:tc>
        <w:tc>
          <w:tcPr>
            <w:tcW w:w="2693" w:type="dxa"/>
          </w:tcPr>
          <w:p>
            <w:pPr>
              <w:pStyle w:val="TableParagraph"/>
              <w:spacing w:before="13"/>
              <w:ind w:left="107" w:right="215"/>
              <w:rPr>
                <w:b/>
                <w:sz w:val="18"/>
              </w:rPr>
            </w:pPr>
            <w:r>
              <w:rPr>
                <w:b/>
                <w:sz w:val="18"/>
              </w:rPr>
              <w:t>Will your proposal assist in achieving this?</w:t>
            </w:r>
          </w:p>
        </w:tc>
        <w:tc>
          <w:tcPr>
            <w:tcW w:w="3260" w:type="dxa"/>
          </w:tcPr>
          <w:p>
            <w:pPr>
              <w:pStyle w:val="TableParagraph"/>
              <w:spacing w:before="13"/>
              <w:ind w:left="108"/>
              <w:rPr>
                <w:b/>
                <w:sz w:val="18"/>
              </w:rPr>
            </w:pPr>
            <w:r>
              <w:rPr>
                <w:b/>
                <w:sz w:val="18"/>
              </w:rPr>
              <w:t>Explanation where relevant</w:t>
            </w:r>
          </w:p>
        </w:tc>
      </w:tr>
      <w:tr>
        <w:trPr>
          <w:trHeight w:val="1722" w:hRule="atLeast"/>
        </w:trPr>
        <w:tc>
          <w:tcPr>
            <w:tcW w:w="999" w:type="dxa"/>
          </w:tcPr>
          <w:p>
            <w:pPr>
              <w:pStyle w:val="TableParagraph"/>
              <w:spacing w:before="114"/>
              <w:ind w:left="107" w:right="81"/>
              <w:rPr>
                <w:b/>
                <w:sz w:val="18"/>
              </w:rPr>
            </w:pPr>
            <w:r>
              <w:rPr>
                <w:b/>
                <w:sz w:val="18"/>
              </w:rPr>
              <w:t>Maui objective</w:t>
            </w:r>
          </w:p>
        </w:tc>
        <w:tc>
          <w:tcPr>
            <w:tcW w:w="3965" w:type="dxa"/>
          </w:tcPr>
          <w:p>
            <w:pPr>
              <w:pStyle w:val="TableParagraph"/>
              <w:spacing w:before="119"/>
              <w:ind w:left="107" w:right="466"/>
              <w:rPr>
                <w:sz w:val="18"/>
              </w:rPr>
            </w:pPr>
            <w:r>
              <w:rPr>
                <w:sz w:val="18"/>
              </w:rPr>
              <w:t>Restore, maintain and protect the mauri of freshwater resources</w:t>
            </w:r>
          </w:p>
        </w:tc>
        <w:tc>
          <w:tcPr>
            <w:tcW w:w="2693" w:type="dxa"/>
          </w:tcPr>
          <w:p>
            <w:pPr>
              <w:pStyle w:val="TableParagraph"/>
              <w:spacing w:before="11"/>
              <w:rPr>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260" w:type="dxa"/>
          </w:tcPr>
          <w:p>
            <w:pPr>
              <w:pStyle w:val="TableParagraph"/>
              <w:rPr>
                <w:rFonts w:ascii="Times New Roman"/>
                <w:sz w:val="18"/>
              </w:rPr>
            </w:pPr>
          </w:p>
        </w:tc>
      </w:tr>
      <w:tr>
        <w:trPr>
          <w:trHeight w:val="1716" w:hRule="atLeast"/>
        </w:trPr>
        <w:tc>
          <w:tcPr>
            <w:tcW w:w="999" w:type="dxa"/>
          </w:tcPr>
          <w:p>
            <w:pPr>
              <w:pStyle w:val="TableParagraph"/>
              <w:spacing w:before="114"/>
              <w:ind w:left="107" w:right="81"/>
              <w:rPr>
                <w:b/>
                <w:sz w:val="18"/>
              </w:rPr>
            </w:pPr>
            <w:r>
              <w:rPr>
                <w:b/>
                <w:sz w:val="18"/>
              </w:rPr>
              <w:t>Mahinga kai objective</w:t>
            </w:r>
          </w:p>
        </w:tc>
        <w:tc>
          <w:tcPr>
            <w:tcW w:w="3965" w:type="dxa"/>
          </w:tcPr>
          <w:p>
            <w:pPr>
              <w:pStyle w:val="TableParagraph"/>
              <w:spacing w:before="119"/>
              <w:ind w:left="107" w:right="135"/>
              <w:rPr>
                <w:sz w:val="18"/>
              </w:rPr>
            </w:pPr>
            <w:r>
              <w:rPr>
                <w:sz w:val="18"/>
              </w:rPr>
              <w:t>To maintain vital, healthy mahinga kai populations and habitats capable of sustaining harvesting activity.</w:t>
            </w:r>
          </w:p>
        </w:tc>
        <w:tc>
          <w:tcPr>
            <w:tcW w:w="2693" w:type="dxa"/>
          </w:tcPr>
          <w:p>
            <w:pPr>
              <w:pStyle w:val="TableParagraph"/>
              <w:spacing w:before="9"/>
              <w:rPr>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260" w:type="dxa"/>
          </w:tcPr>
          <w:p>
            <w:pPr>
              <w:pStyle w:val="TableParagraph"/>
              <w:rPr>
                <w:rFonts w:ascii="Times New Roman"/>
                <w:sz w:val="18"/>
              </w:rPr>
            </w:pPr>
          </w:p>
        </w:tc>
      </w:tr>
      <w:tr>
        <w:trPr>
          <w:trHeight w:val="1569" w:hRule="atLeast"/>
        </w:trPr>
        <w:tc>
          <w:tcPr>
            <w:tcW w:w="999" w:type="dxa"/>
          </w:tcPr>
          <w:p>
            <w:pPr>
              <w:pStyle w:val="TableParagraph"/>
              <w:spacing w:before="114"/>
              <w:ind w:left="107" w:right="131"/>
              <w:rPr>
                <w:b/>
                <w:sz w:val="18"/>
              </w:rPr>
            </w:pPr>
            <w:r>
              <w:rPr>
                <w:b/>
                <w:sz w:val="18"/>
              </w:rPr>
              <w:t>Mahinga kai Policy 3</w:t>
            </w:r>
          </w:p>
        </w:tc>
        <w:tc>
          <w:tcPr>
            <w:tcW w:w="3965" w:type="dxa"/>
          </w:tcPr>
          <w:p>
            <w:pPr>
              <w:pStyle w:val="TableParagraph"/>
              <w:spacing w:before="119"/>
              <w:ind w:left="107" w:right="196"/>
              <w:rPr>
                <w:sz w:val="18"/>
              </w:rPr>
            </w:pPr>
            <w:r>
              <w:rPr>
                <w:sz w:val="18"/>
              </w:rPr>
              <w:t>Ensure that activities in the upper catchments have no adverse effect on mahinga kai resources in the lower catchments.</w:t>
            </w:r>
          </w:p>
        </w:tc>
        <w:tc>
          <w:tcPr>
            <w:tcW w:w="2693" w:type="dxa"/>
          </w:tcPr>
          <w:p>
            <w:pPr>
              <w:pStyle w:val="TableParagraph"/>
              <w:spacing w:before="9"/>
              <w:rPr>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260" w:type="dxa"/>
          </w:tcPr>
          <w:p>
            <w:pPr>
              <w:pStyle w:val="TableParagraph"/>
              <w:rPr>
                <w:rFonts w:ascii="Times New Roman"/>
                <w:sz w:val="18"/>
              </w:rPr>
            </w:pPr>
          </w:p>
        </w:tc>
      </w:tr>
    </w:tbl>
    <w:p>
      <w:pPr>
        <w:spacing w:after="0"/>
        <w:rPr>
          <w:rFonts w:ascii="Times New Roman"/>
          <w:sz w:val="18"/>
        </w:rPr>
        <w:sectPr>
          <w:pgSz w:w="11910" w:h="16850"/>
          <w:pgMar w:header="0" w:footer="962" w:top="880" w:bottom="1300" w:left="140" w:right="200"/>
        </w:sectPr>
      </w:pPr>
    </w:p>
    <w:p>
      <w:pPr>
        <w:pStyle w:val="BodyText"/>
        <w:tabs>
          <w:tab w:pos="6670" w:val="left" w:leader="none"/>
          <w:tab w:pos="10203" w:val="left" w:leader="none"/>
        </w:tabs>
        <w:spacing w:before="85"/>
        <w:ind w:left="426"/>
      </w:pPr>
      <w:r>
        <w:rPr/>
        <w:pict>
          <v:rect style="position:absolute;margin-left:295.730011pt;margin-top:242.299973pt;width:13.8pt;height:13.8pt;mso-position-horizontal-relative:page;mso-position-vertical-relative:page;z-index:-40576" filled="false" stroked="true" strokeweight=".72pt" strokecolor="#000000">
            <v:stroke dashstyle="solid"/>
            <w10:wrap type="none"/>
          </v:rect>
        </w:pict>
      </w:r>
      <w:r>
        <w:rPr/>
        <w:pict>
          <v:rect style="position:absolute;margin-left:340.630005pt;margin-top:242.299973pt;width:13.8pt;height:13.8pt;mso-position-horizontal-relative:page;mso-position-vertical-relative:page;z-index:-40552" filled="false" stroked="true" strokeweight=".72pt" strokecolor="#000000">
            <v:stroke dashstyle="solid"/>
            <w10:wrap type="none"/>
          </v:rect>
        </w:pict>
      </w:r>
      <w:r>
        <w:rPr/>
        <w:pict>
          <v:rect style="position:absolute;margin-left:381.549988pt;margin-top:242.299973pt;width:13.8pt;height:13.8pt;mso-position-horizontal-relative:page;mso-position-vertical-relative:page;z-index:-40528" filled="false" stroked="true" strokeweight=".72pt" strokecolor="#000000">
            <v:stroke dashstyle="solid"/>
            <w10:wrap type="none"/>
          </v:rect>
        </w:pict>
      </w:r>
      <w:r>
        <w:rPr/>
        <w:pict>
          <v:rect style="position:absolute;margin-left:295.730011pt;margin-top:315.889984pt;width:13.8pt;height:13.8pt;mso-position-horizontal-relative:page;mso-position-vertical-relative:page;z-index:-40504" filled="false" stroked="true" strokeweight=".72pt" strokecolor="#000000">
            <v:stroke dashstyle="solid"/>
            <w10:wrap type="none"/>
          </v:rect>
        </w:pict>
      </w:r>
      <w:r>
        <w:rPr/>
        <w:pict>
          <v:rect style="position:absolute;margin-left:340.630005pt;margin-top:315.889984pt;width:13.8pt;height:13.8pt;mso-position-horizontal-relative:page;mso-position-vertical-relative:page;z-index:-40480" filled="false" stroked="true" strokeweight=".72pt" strokecolor="#000000">
            <v:stroke dashstyle="solid"/>
            <w10:wrap type="none"/>
          </v:rect>
        </w:pict>
      </w:r>
      <w:r>
        <w:rPr/>
        <w:pict>
          <v:rect style="position:absolute;margin-left:381.549988pt;margin-top:315.889984pt;width:13.8pt;height:13.8pt;mso-position-horizontal-relative:page;mso-position-vertical-relative:page;z-index:-40456" filled="false" stroked="true" strokeweight=".72pt" strokecolor="#000000">
            <v:stroke dashstyle="solid"/>
            <w10:wrap type="none"/>
          </v:rect>
        </w:pict>
      </w:r>
      <w:r>
        <w:rPr/>
        <w:pict>
          <v:rect style="position:absolute;margin-left:295.730011pt;margin-top:398.569977pt;width:13.8pt;height:13.8pt;mso-position-horizontal-relative:page;mso-position-vertical-relative:page;z-index:-40432" filled="false" stroked="true" strokeweight=".72pt" strokecolor="#000000">
            <v:stroke dashstyle="solid"/>
            <w10:wrap type="none"/>
          </v:rect>
        </w:pict>
      </w:r>
      <w:r>
        <w:rPr/>
        <w:pict>
          <v:rect style="position:absolute;margin-left:340.630005pt;margin-top:398.569977pt;width:13.8pt;height:13.8pt;mso-position-horizontal-relative:page;mso-position-vertical-relative:page;z-index:-40408" filled="false" stroked="true" strokeweight=".72pt" strokecolor="#000000">
            <v:stroke dashstyle="solid"/>
            <w10:wrap type="none"/>
          </v:rect>
        </w:pict>
      </w:r>
      <w:r>
        <w:rPr/>
        <w:pict>
          <v:rect style="position:absolute;margin-left:381.549988pt;margin-top:398.569977pt;width:13.8pt;height:13.8pt;mso-position-horizontal-relative:page;mso-position-vertical-relative:page;z-index:-40384" filled="false" stroked="true" strokeweight=".72pt" strokecolor="#000000">
            <v:stroke dashstyle="solid"/>
            <w10:wrap type="none"/>
          </v:rect>
        </w:pict>
      </w:r>
      <w:r>
        <w:rPr/>
        <w:pict>
          <v:rect style="position:absolute;margin-left:295.730011pt;margin-top:475.869965pt;width:13.8pt;height:13.8pt;mso-position-horizontal-relative:page;mso-position-vertical-relative:page;z-index:-40360" filled="false" stroked="true" strokeweight=".72pt" strokecolor="#000000">
            <v:stroke dashstyle="solid"/>
            <w10:wrap type="none"/>
          </v:rect>
        </w:pict>
      </w:r>
      <w:r>
        <w:rPr/>
        <w:pict>
          <v:rect style="position:absolute;margin-left:340.630005pt;margin-top:475.869965pt;width:13.8pt;height:13.8pt;mso-position-horizontal-relative:page;mso-position-vertical-relative:page;z-index:-40336" filled="false" stroked="true" strokeweight=".72pt" strokecolor="#000000">
            <v:stroke dashstyle="solid"/>
            <w10:wrap type="none"/>
          </v:rect>
        </w:pict>
      </w:r>
      <w:r>
        <w:rPr/>
        <w:pict>
          <v:rect style="position:absolute;margin-left:381.549988pt;margin-top:475.869965pt;width:13.8pt;height:13.8pt;mso-position-horizontal-relative:page;mso-position-vertical-relative:page;z-index:-40312" filled="false" stroked="true" strokeweight=".72pt" strokecolor="#000000">
            <v:stroke dashstyle="solid"/>
            <w10:wrap type="none"/>
          </v:rect>
        </w:pict>
      </w:r>
      <w:r>
        <w:rPr/>
        <w:pict>
          <v:rect style="position:absolute;margin-left:295.730011pt;margin-top:540.789978pt;width:13.8pt;height:13.8pt;mso-position-horizontal-relative:page;mso-position-vertical-relative:page;z-index:-40288" filled="false" stroked="true" strokeweight=".72pt" strokecolor="#000000">
            <v:stroke dashstyle="solid"/>
            <w10:wrap type="none"/>
          </v:rect>
        </w:pict>
      </w:r>
      <w:r>
        <w:rPr/>
        <w:pict>
          <v:rect style="position:absolute;margin-left:340.630005pt;margin-top:540.789978pt;width:13.8pt;height:13.8pt;mso-position-horizontal-relative:page;mso-position-vertical-relative:page;z-index:-40264" filled="false" stroked="true" strokeweight=".72pt" strokecolor="#000000">
            <v:stroke dashstyle="solid"/>
            <w10:wrap type="none"/>
          </v:rect>
        </w:pict>
      </w:r>
      <w:r>
        <w:rPr/>
        <w:pict>
          <v:rect style="position:absolute;margin-left:381.549988pt;margin-top:540.789978pt;width:13.8pt;height:13.8pt;mso-position-horizontal-relative:page;mso-position-vertical-relative:page;z-index:-40240" filled="false" stroked="true" strokeweight=".72pt" strokecolor="#000000">
            <v:stroke dashstyle="solid"/>
            <w10:wrap type="none"/>
          </v:rect>
        </w:pict>
      </w:r>
      <w:r>
        <w:rPr/>
        <w:pict>
          <v:rect style="position:absolute;margin-left:295.730011pt;margin-top:614.835999pt;width:13.8pt;height:13.824pt;mso-position-horizontal-relative:page;mso-position-vertical-relative:page;z-index:-40216" filled="false" stroked="true" strokeweight=".72pt" strokecolor="#000000">
            <v:stroke dashstyle="solid"/>
            <w10:wrap type="none"/>
          </v:rect>
        </w:pict>
      </w:r>
      <w:r>
        <w:rPr/>
        <w:pict>
          <v:rect style="position:absolute;margin-left:340.630005pt;margin-top:614.835999pt;width:13.8pt;height:13.824pt;mso-position-horizontal-relative:page;mso-position-vertical-relative:page;z-index:-40192" filled="false" stroked="true" strokeweight=".72pt" strokecolor="#000000">
            <v:stroke dashstyle="solid"/>
            <w10:wrap type="none"/>
          </v:rect>
        </w:pict>
      </w:r>
      <w:r>
        <w:rPr/>
        <w:pict>
          <v:rect style="position:absolute;margin-left:381.549988pt;margin-top:614.835999pt;width:13.8pt;height:13.824pt;mso-position-horizontal-relative:page;mso-position-vertical-relative:page;z-index:-40168" filled="false" stroked="true" strokeweight=".72pt" strokecolor="#000000">
            <v:stroke dashstyle="solid"/>
            <w10:wrap type="none"/>
          </v:rect>
        </w:pict>
      </w:r>
      <w:r>
        <w:rPr/>
        <w:pict>
          <v:rect style="position:absolute;margin-left:295.730011pt;margin-top:694.779968pt;width:13.8pt;height:13.8pt;mso-position-horizontal-relative:page;mso-position-vertical-relative:page;z-index:-40144" filled="false" stroked="true" strokeweight=".72pt" strokecolor="#000000">
            <v:stroke dashstyle="solid"/>
            <w10:wrap type="none"/>
          </v:rect>
        </w:pict>
      </w:r>
      <w:r>
        <w:rPr/>
        <w:pict>
          <v:rect style="position:absolute;margin-left:340.630005pt;margin-top:694.779968pt;width:13.8pt;height:13.8pt;mso-position-horizontal-relative:page;mso-position-vertical-relative:page;z-index:-40120" filled="false" stroked="true" strokeweight=".72pt" strokecolor="#000000">
            <v:stroke dashstyle="solid"/>
            <w10:wrap type="none"/>
          </v:rect>
        </w:pict>
      </w:r>
      <w:r>
        <w:rPr/>
        <w:pict>
          <v:rect style="position:absolute;margin-left:381.549988pt;margin-top:694.779968pt;width:13.8pt;height:13.8pt;mso-position-horizontal-relative:page;mso-position-vertical-relative:page;z-index:-40096" filled="false" stroked="true" strokeweight=".72pt" strokecolor="#000000">
            <v:stroke dashstyle="solid"/>
            <w10:wrap type="none"/>
          </v:rect>
        </w:pict>
      </w:r>
      <w:r>
        <w:rPr/>
        <w:t>APPLICATION TO USE LAND FOR FARMING ACTIVITY IN</w:t>
      </w:r>
      <w:r>
        <w:rPr>
          <w:spacing w:val="-18"/>
        </w:rPr>
        <w:t> </w:t>
      </w:r>
      <w:r>
        <w:rPr/>
        <w:t>ORANGE ZONE</w:t>
        <w:tab/>
        <w:t>PAGE 10</w:t>
      </w:r>
      <w:r>
        <w:rPr>
          <w:spacing w:val="-2"/>
        </w:rPr>
        <w:t> </w:t>
      </w:r>
      <w:r>
        <w:rPr/>
        <w:t>OF</w:t>
      </w:r>
      <w:r>
        <w:rPr>
          <w:spacing w:val="-2"/>
        </w:rPr>
        <w:t> </w:t>
      </w:r>
      <w:r>
        <w:rPr/>
        <w:t>15</w:t>
        <w:tab/>
        <w:t>March 2016</w:t>
      </w:r>
    </w:p>
    <w:p>
      <w:pPr>
        <w:pStyle w:val="BodyText"/>
        <w:rPr>
          <w:sz w:val="18"/>
        </w:rPr>
      </w:pPr>
    </w:p>
    <w:p>
      <w:pPr>
        <w:pStyle w:val="ListParagraph"/>
        <w:numPr>
          <w:ilvl w:val="1"/>
          <w:numId w:val="20"/>
        </w:numPr>
        <w:tabs>
          <w:tab w:pos="1002" w:val="left" w:leader="none"/>
          <w:tab w:pos="1003" w:val="left" w:leader="none"/>
        </w:tabs>
        <w:spacing w:line="240" w:lineRule="auto" w:before="94" w:after="0"/>
        <w:ind w:left="1002" w:right="0" w:hanging="576"/>
        <w:jc w:val="left"/>
        <w:rPr>
          <w:sz w:val="18"/>
        </w:rPr>
      </w:pPr>
      <w:r>
        <w:rPr>
          <w:b/>
          <w:sz w:val="18"/>
        </w:rPr>
        <w:t>IMP: TE POHA O TOHU RAUMATI </w:t>
      </w:r>
      <w:r>
        <w:rPr>
          <w:sz w:val="18"/>
        </w:rPr>
        <w:t>(WITHIN TAKIWĀ OF KAIKŌURA</w:t>
      </w:r>
      <w:r>
        <w:rPr>
          <w:spacing w:val="-7"/>
          <w:sz w:val="18"/>
        </w:rPr>
        <w:t> </w:t>
      </w:r>
      <w:r>
        <w:rPr>
          <w:sz w:val="18"/>
        </w:rPr>
        <w:t>RŪNANGA)</w:t>
      </w:r>
    </w:p>
    <w:p>
      <w:pPr>
        <w:pStyle w:val="BodyText"/>
        <w:spacing w:before="11"/>
        <w:rPr>
          <w:sz w:val="26"/>
        </w:rPr>
      </w:pPr>
    </w:p>
    <w:p>
      <w:pPr>
        <w:pStyle w:val="ListParagraph"/>
        <w:numPr>
          <w:ilvl w:val="2"/>
          <w:numId w:val="20"/>
        </w:numPr>
        <w:tabs>
          <w:tab w:pos="1429" w:val="left" w:leader="none"/>
          <w:tab w:pos="1431" w:val="left" w:leader="none"/>
        </w:tabs>
        <w:spacing w:line="240" w:lineRule="auto" w:before="0" w:after="0"/>
        <w:ind w:left="1430" w:right="0" w:hanging="721"/>
        <w:jc w:val="left"/>
        <w:rPr>
          <w:b/>
          <w:i/>
          <w:sz w:val="18"/>
        </w:rPr>
      </w:pPr>
      <w:r>
        <w:rPr/>
        <w:pict>
          <v:rect style="position:absolute;margin-left:295.730011pt;margin-top:55.721905pt;width:13.8pt;height:13.8pt;mso-position-horizontal-relative:page;mso-position-vertical-relative:paragraph;z-index:-40648" filled="false" stroked="true" strokeweight=".72pt" strokecolor="#000000">
            <v:stroke dashstyle="solid"/>
            <w10:wrap type="none"/>
          </v:rect>
        </w:pict>
      </w:r>
      <w:r>
        <w:rPr/>
        <w:pict>
          <v:rect style="position:absolute;margin-left:340.630005pt;margin-top:55.721905pt;width:13.8pt;height:13.8pt;mso-position-horizontal-relative:page;mso-position-vertical-relative:paragraph;z-index:-40624" filled="false" stroked="true" strokeweight=".72pt" strokecolor="#000000">
            <v:stroke dashstyle="solid"/>
            <w10:wrap type="none"/>
          </v:rect>
        </w:pict>
      </w:r>
      <w:r>
        <w:rPr/>
        <w:pict>
          <v:rect style="position:absolute;margin-left:381.549988pt;margin-top:55.721905pt;width:13.8pt;height:13.8pt;mso-position-horizontal-relative:page;mso-position-vertical-relative:paragraph;z-index:-40600" filled="false" stroked="true" strokeweight=".72pt" strokecolor="#000000">
            <v:stroke dashstyle="solid"/>
            <w10:wrap type="none"/>
          </v:rect>
        </w:pict>
      </w:r>
      <w:r>
        <w:rPr>
          <w:b/>
          <w:i/>
          <w:sz w:val="18"/>
        </w:rPr>
        <w:t>Area: Hapuku River to the Conway</w:t>
      </w:r>
      <w:r>
        <w:rPr>
          <w:b/>
          <w:i/>
          <w:spacing w:val="-3"/>
          <w:sz w:val="18"/>
        </w:rPr>
        <w:t> </w:t>
      </w:r>
      <w:r>
        <w:rPr>
          <w:b/>
          <w:i/>
          <w:sz w:val="18"/>
        </w:rPr>
        <w:t>River</w:t>
      </w:r>
    </w:p>
    <w:p>
      <w:pPr>
        <w:pStyle w:val="BodyText"/>
        <w:spacing w:before="8" w:after="1"/>
        <w:rPr>
          <w:b/>
          <w:i/>
          <w:sz w:val="17"/>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845"/>
        <w:gridCol w:w="2695"/>
        <w:gridCol w:w="3118"/>
      </w:tblGrid>
      <w:tr>
        <w:trPr>
          <w:trHeight w:val="453" w:hRule="atLeast"/>
        </w:trPr>
        <w:tc>
          <w:tcPr>
            <w:tcW w:w="5103" w:type="dxa"/>
            <w:gridSpan w:val="2"/>
          </w:tcPr>
          <w:p>
            <w:pPr>
              <w:pStyle w:val="TableParagraph"/>
              <w:spacing w:before="119"/>
              <w:ind w:left="107"/>
              <w:rPr>
                <w:b/>
                <w:sz w:val="18"/>
              </w:rPr>
            </w:pPr>
            <w:r>
              <w:rPr>
                <w:b/>
                <w:sz w:val="18"/>
              </w:rPr>
              <w:t>Kaupapa</w:t>
            </w:r>
          </w:p>
        </w:tc>
        <w:tc>
          <w:tcPr>
            <w:tcW w:w="2695" w:type="dxa"/>
          </w:tcPr>
          <w:p>
            <w:pPr>
              <w:pStyle w:val="TableParagraph"/>
              <w:spacing w:before="13"/>
              <w:ind w:left="110" w:right="214"/>
              <w:rPr>
                <w:b/>
                <w:sz w:val="18"/>
              </w:rPr>
            </w:pPr>
            <w:r>
              <w:rPr>
                <w:b/>
                <w:sz w:val="18"/>
              </w:rPr>
              <w:t>Will your proposal assist in achieving this?</w:t>
            </w:r>
          </w:p>
        </w:tc>
        <w:tc>
          <w:tcPr>
            <w:tcW w:w="3118" w:type="dxa"/>
          </w:tcPr>
          <w:p>
            <w:pPr>
              <w:pStyle w:val="TableParagraph"/>
              <w:spacing w:before="13"/>
              <w:ind w:left="108"/>
              <w:rPr>
                <w:b/>
                <w:sz w:val="18"/>
              </w:rPr>
            </w:pPr>
            <w:r>
              <w:rPr>
                <w:b/>
                <w:sz w:val="18"/>
              </w:rPr>
              <w:t>Explanation where relevant</w:t>
            </w:r>
          </w:p>
        </w:tc>
      </w:tr>
      <w:tr>
        <w:trPr>
          <w:trHeight w:val="1737" w:hRule="atLeast"/>
        </w:trPr>
        <w:tc>
          <w:tcPr>
            <w:tcW w:w="1258" w:type="dxa"/>
          </w:tcPr>
          <w:p>
            <w:pPr>
              <w:pStyle w:val="TableParagraph"/>
              <w:spacing w:before="116"/>
              <w:ind w:left="107" w:right="260"/>
              <w:rPr>
                <w:b/>
                <w:sz w:val="18"/>
              </w:rPr>
            </w:pPr>
            <w:r>
              <w:rPr>
                <w:b/>
                <w:sz w:val="18"/>
              </w:rPr>
              <w:t>Farming – Policy 2</w:t>
            </w:r>
          </w:p>
        </w:tc>
        <w:tc>
          <w:tcPr>
            <w:tcW w:w="3845" w:type="dxa"/>
          </w:tcPr>
          <w:p>
            <w:pPr>
              <w:pStyle w:val="TableParagraph"/>
              <w:spacing w:before="121"/>
              <w:ind w:left="107" w:right="126"/>
              <w:rPr>
                <w:sz w:val="18"/>
              </w:rPr>
            </w:pPr>
            <w:r>
              <w:rPr>
                <w:sz w:val="18"/>
              </w:rPr>
              <w:t>To encourage the adoption of “best practice” farming methods as part of developing environmentally sustainable, socially responsible, and economically viable farming systems.</w:t>
            </w:r>
          </w:p>
        </w:tc>
        <w:tc>
          <w:tcPr>
            <w:tcW w:w="2695" w:type="dxa"/>
          </w:tcPr>
          <w:p>
            <w:pPr>
              <w:pStyle w:val="TableParagraph"/>
              <w:spacing w:before="11"/>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548" w:hRule="atLeast"/>
        </w:trPr>
        <w:tc>
          <w:tcPr>
            <w:tcW w:w="1258" w:type="dxa"/>
          </w:tcPr>
          <w:p>
            <w:pPr>
              <w:pStyle w:val="TableParagraph"/>
              <w:spacing w:before="114"/>
              <w:ind w:left="107" w:right="260"/>
              <w:rPr>
                <w:b/>
                <w:sz w:val="18"/>
              </w:rPr>
            </w:pPr>
            <w:r>
              <w:rPr>
                <w:b/>
                <w:sz w:val="18"/>
              </w:rPr>
              <w:t>Farming – Policy 3</w:t>
            </w:r>
          </w:p>
        </w:tc>
        <w:tc>
          <w:tcPr>
            <w:tcW w:w="3845" w:type="dxa"/>
          </w:tcPr>
          <w:p>
            <w:pPr>
              <w:pStyle w:val="TableParagraph"/>
              <w:spacing w:before="119"/>
              <w:ind w:left="107" w:right="156"/>
              <w:rPr>
                <w:sz w:val="18"/>
              </w:rPr>
            </w:pPr>
            <w:r>
              <w:rPr>
                <w:sz w:val="18"/>
              </w:rPr>
              <w:t>The kinds of farming activities that occur in a given area (land use) must match land capability (e.g. elevation, slope, soil type).</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557" w:hRule="atLeast"/>
        </w:trPr>
        <w:tc>
          <w:tcPr>
            <w:tcW w:w="1258" w:type="dxa"/>
          </w:tcPr>
          <w:p>
            <w:pPr>
              <w:pStyle w:val="TableParagraph"/>
              <w:spacing w:before="114"/>
              <w:ind w:left="107" w:right="260"/>
              <w:rPr>
                <w:b/>
                <w:sz w:val="18"/>
              </w:rPr>
            </w:pPr>
            <w:r>
              <w:rPr>
                <w:b/>
                <w:sz w:val="18"/>
              </w:rPr>
              <w:t>Farming – Policy 4</w:t>
            </w:r>
          </w:p>
        </w:tc>
        <w:tc>
          <w:tcPr>
            <w:tcW w:w="3845" w:type="dxa"/>
          </w:tcPr>
          <w:p>
            <w:pPr>
              <w:pStyle w:val="TableParagraph"/>
              <w:spacing w:before="119"/>
              <w:ind w:left="107" w:right="105"/>
              <w:rPr>
                <w:sz w:val="18"/>
              </w:rPr>
            </w:pPr>
            <w:r>
              <w:rPr>
                <w:sz w:val="18"/>
              </w:rPr>
              <w:t>To avoid the establishment or continuance of any use or activity that has the potential to result in the contamination of land or water unless effective precautions have been taken to avoid adverse effects on the environment.</w:t>
            </w:r>
          </w:p>
        </w:tc>
        <w:tc>
          <w:tcPr>
            <w:tcW w:w="2695" w:type="dxa"/>
          </w:tcPr>
          <w:p>
            <w:pPr>
              <w:pStyle w:val="TableParagraph"/>
              <w:spacing w:before="3"/>
              <w:rPr>
                <w:b/>
                <w:i/>
                <w:sz w:val="18"/>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536" w:hRule="atLeast"/>
        </w:trPr>
        <w:tc>
          <w:tcPr>
            <w:tcW w:w="1258" w:type="dxa"/>
          </w:tcPr>
          <w:p>
            <w:pPr>
              <w:pStyle w:val="TableParagraph"/>
              <w:spacing w:before="114"/>
              <w:ind w:left="107" w:right="260"/>
              <w:rPr>
                <w:b/>
                <w:sz w:val="18"/>
              </w:rPr>
            </w:pPr>
            <w:r>
              <w:rPr>
                <w:b/>
                <w:sz w:val="18"/>
              </w:rPr>
              <w:t>Farming – Policy 7</w:t>
            </w:r>
          </w:p>
        </w:tc>
        <w:tc>
          <w:tcPr>
            <w:tcW w:w="3845" w:type="dxa"/>
          </w:tcPr>
          <w:p>
            <w:pPr>
              <w:pStyle w:val="TableParagraph"/>
              <w:spacing w:before="119"/>
              <w:ind w:left="107" w:right="145"/>
              <w:rPr>
                <w:sz w:val="18"/>
              </w:rPr>
            </w:pPr>
            <w:r>
              <w:rPr>
                <w:sz w:val="18"/>
              </w:rPr>
              <w:t>To require that the relationship between land use activities in upper catchments</w:t>
            </w:r>
          </w:p>
          <w:p>
            <w:pPr>
              <w:pStyle w:val="TableParagraph"/>
              <w:spacing w:before="118"/>
              <w:ind w:left="107" w:right="345"/>
              <w:rPr>
                <w:sz w:val="18"/>
              </w:rPr>
            </w:pPr>
            <w:r>
              <w:rPr>
                <w:sz w:val="18"/>
              </w:rPr>
              <w:t>and the health of coastal ecosystems is recognised and provided for in all decision</w:t>
            </w:r>
          </w:p>
          <w:p>
            <w:pPr>
              <w:pStyle w:val="TableParagraph"/>
              <w:spacing w:before="122"/>
              <w:ind w:left="107"/>
              <w:rPr>
                <w:sz w:val="18"/>
              </w:rPr>
            </w:pPr>
            <w:r>
              <w:rPr>
                <w:sz w:val="18"/>
              </w:rPr>
              <w:t>making relating to coastal environment.</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288" w:hRule="atLeast"/>
        </w:trPr>
        <w:tc>
          <w:tcPr>
            <w:tcW w:w="1258" w:type="dxa"/>
          </w:tcPr>
          <w:p>
            <w:pPr>
              <w:pStyle w:val="TableParagraph"/>
              <w:spacing w:before="114"/>
              <w:ind w:left="107" w:right="360"/>
              <w:rPr>
                <w:b/>
                <w:sz w:val="18"/>
              </w:rPr>
            </w:pPr>
            <w:r>
              <w:rPr>
                <w:b/>
                <w:sz w:val="18"/>
              </w:rPr>
              <w:t>Water Quality – Policy 6</w:t>
            </w:r>
          </w:p>
        </w:tc>
        <w:tc>
          <w:tcPr>
            <w:tcW w:w="3845" w:type="dxa"/>
          </w:tcPr>
          <w:p>
            <w:pPr>
              <w:pStyle w:val="TableParagraph"/>
              <w:spacing w:before="119"/>
              <w:ind w:left="107" w:right="106"/>
              <w:rPr>
                <w:sz w:val="18"/>
              </w:rPr>
            </w:pPr>
            <w:r>
              <w:rPr>
                <w:color w:val="202024"/>
                <w:sz w:val="18"/>
              </w:rPr>
              <w:t>To avoid adverse impacts on water quality as a result of non-point source pollution, and require that any non-avoidable impacts are mitigated.</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470" w:hRule="atLeast"/>
        </w:trPr>
        <w:tc>
          <w:tcPr>
            <w:tcW w:w="1258" w:type="dxa"/>
          </w:tcPr>
          <w:p>
            <w:pPr>
              <w:pStyle w:val="TableParagraph"/>
              <w:spacing w:before="114"/>
              <w:ind w:left="107" w:right="340"/>
              <w:rPr>
                <w:b/>
                <w:sz w:val="18"/>
              </w:rPr>
            </w:pPr>
            <w:r>
              <w:rPr>
                <w:b/>
                <w:sz w:val="18"/>
              </w:rPr>
              <w:t>Water Quality – Policy 10</w:t>
            </w:r>
          </w:p>
        </w:tc>
        <w:tc>
          <w:tcPr>
            <w:tcW w:w="3845" w:type="dxa"/>
          </w:tcPr>
          <w:p>
            <w:pPr>
              <w:pStyle w:val="TableParagraph"/>
              <w:spacing w:before="119"/>
              <w:ind w:left="107" w:right="316"/>
              <w:rPr>
                <w:sz w:val="18"/>
              </w:rPr>
            </w:pPr>
            <w:r>
              <w:rPr>
                <w:sz w:val="18"/>
              </w:rPr>
              <w:t>To maintain standards of water quality that ensure healthy mahinga kai populations capable of sustaining customary use.</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589" w:hRule="atLeast"/>
        </w:trPr>
        <w:tc>
          <w:tcPr>
            <w:tcW w:w="1258" w:type="dxa"/>
          </w:tcPr>
          <w:p>
            <w:pPr>
              <w:pStyle w:val="TableParagraph"/>
              <w:spacing w:before="114"/>
              <w:ind w:left="107" w:right="180"/>
              <w:rPr>
                <w:b/>
                <w:sz w:val="18"/>
              </w:rPr>
            </w:pPr>
            <w:r>
              <w:rPr>
                <w:b/>
                <w:sz w:val="18"/>
              </w:rPr>
              <w:t>Rivers, streams and creeks</w:t>
            </w:r>
          </w:p>
          <w:p>
            <w:pPr>
              <w:pStyle w:val="TableParagraph"/>
              <w:spacing w:before="1"/>
              <w:ind w:left="107" w:right="150"/>
              <w:rPr>
                <w:b/>
                <w:sz w:val="18"/>
              </w:rPr>
            </w:pPr>
            <w:r>
              <w:rPr>
                <w:b/>
                <w:sz w:val="18"/>
              </w:rPr>
              <w:t>– General – Policy 2</w:t>
            </w:r>
          </w:p>
        </w:tc>
        <w:tc>
          <w:tcPr>
            <w:tcW w:w="3845" w:type="dxa"/>
          </w:tcPr>
          <w:p>
            <w:pPr>
              <w:pStyle w:val="TableParagraph"/>
              <w:spacing w:before="119"/>
              <w:ind w:left="107" w:right="156"/>
              <w:rPr>
                <w:sz w:val="18"/>
              </w:rPr>
            </w:pPr>
            <w:r>
              <w:rPr>
                <w:sz w:val="18"/>
              </w:rPr>
              <w:t>To restore, maintain and protect the mauri of freshwater resources.</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r>
        <w:trPr>
          <w:trHeight w:val="1513" w:hRule="atLeast"/>
        </w:trPr>
        <w:tc>
          <w:tcPr>
            <w:tcW w:w="1258" w:type="dxa"/>
          </w:tcPr>
          <w:p>
            <w:pPr>
              <w:pStyle w:val="TableParagraph"/>
              <w:spacing w:before="114"/>
              <w:ind w:left="107" w:right="80"/>
              <w:rPr>
                <w:b/>
                <w:sz w:val="18"/>
              </w:rPr>
            </w:pPr>
            <w:r>
              <w:rPr>
                <w:b/>
                <w:sz w:val="18"/>
              </w:rPr>
              <w:t>Cultural Landscapes</w:t>
            </w:r>
          </w:p>
          <w:p>
            <w:pPr>
              <w:pStyle w:val="TableParagraph"/>
              <w:spacing w:line="206" w:lineRule="exact"/>
              <w:ind w:left="107"/>
              <w:rPr>
                <w:b/>
                <w:sz w:val="18"/>
              </w:rPr>
            </w:pPr>
            <w:r>
              <w:rPr>
                <w:b/>
                <w:sz w:val="18"/>
              </w:rPr>
              <w:t>– Policy 2</w:t>
            </w:r>
          </w:p>
        </w:tc>
        <w:tc>
          <w:tcPr>
            <w:tcW w:w="3845" w:type="dxa"/>
          </w:tcPr>
          <w:p>
            <w:pPr>
              <w:pStyle w:val="TableParagraph"/>
              <w:spacing w:before="119"/>
              <w:ind w:left="107" w:right="440"/>
              <w:rPr>
                <w:sz w:val="18"/>
              </w:rPr>
            </w:pPr>
            <w:r>
              <w:rPr>
                <w:sz w:val="18"/>
              </w:rPr>
              <w:t>Applications for activities that are within, adjacent to, or may impact on a</w:t>
            </w:r>
            <w:r>
              <w:rPr>
                <w:spacing w:val="-14"/>
                <w:sz w:val="18"/>
              </w:rPr>
              <w:t> </w:t>
            </w:r>
            <w:r>
              <w:rPr>
                <w:sz w:val="18"/>
              </w:rPr>
              <w:t>Statutory</w:t>
            </w:r>
          </w:p>
          <w:p>
            <w:pPr>
              <w:pStyle w:val="TableParagraph"/>
              <w:ind w:left="107" w:right="96"/>
              <w:rPr>
                <w:sz w:val="18"/>
              </w:rPr>
            </w:pPr>
            <w:r>
              <w:rPr>
                <w:sz w:val="18"/>
              </w:rPr>
              <w:t>Acknowledgement (SA), Tōpuni, or any Deed of Settlement site will require</w:t>
            </w:r>
            <w:r>
              <w:rPr>
                <w:spacing w:val="-12"/>
                <w:sz w:val="18"/>
              </w:rPr>
              <w:t> </w:t>
            </w:r>
            <w:r>
              <w:rPr>
                <w:sz w:val="18"/>
              </w:rPr>
              <w:t>consultation</w:t>
            </w:r>
          </w:p>
          <w:p>
            <w:pPr>
              <w:pStyle w:val="TableParagraph"/>
              <w:ind w:left="107" w:right="425"/>
              <w:rPr>
                <w:sz w:val="18"/>
              </w:rPr>
            </w:pPr>
            <w:r>
              <w:rPr>
                <w:sz w:val="18"/>
              </w:rPr>
              <w:t>with both Te Rūnanga o Kaikōura and Te Rūnanga o Ngāi Tahu.</w:t>
            </w:r>
          </w:p>
        </w:tc>
        <w:tc>
          <w:tcPr>
            <w:tcW w:w="2695" w:type="dxa"/>
          </w:tcPr>
          <w:p>
            <w:pPr>
              <w:pStyle w:val="TableParagraph"/>
              <w:spacing w:before="9"/>
              <w:rPr>
                <w:b/>
                <w:i/>
                <w:sz w:val="25"/>
              </w:rPr>
            </w:pPr>
          </w:p>
          <w:p>
            <w:pPr>
              <w:pStyle w:val="TableParagraph"/>
              <w:tabs>
                <w:tab w:pos="897" w:val="left" w:leader="none"/>
                <w:tab w:pos="1728" w:val="left" w:leader="none"/>
              </w:tabs>
              <w:ind w:right="155"/>
              <w:jc w:val="right"/>
              <w:rPr>
                <w:sz w:val="18"/>
              </w:rPr>
            </w:pPr>
            <w:r>
              <w:rPr>
                <w:sz w:val="18"/>
              </w:rPr>
              <w:t>Yes</w:t>
              <w:tab/>
              <w:t>No</w:t>
              <w:tab/>
              <w:t>N/A</w:t>
            </w:r>
          </w:p>
        </w:tc>
        <w:tc>
          <w:tcPr>
            <w:tcW w:w="3118"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295.730011pt;margin-top:236.899979pt;width:13.8pt;height:13.8pt;mso-position-horizontal-relative:page;mso-position-vertical-relative:page;z-index:-40000" filled="false" stroked="true" strokeweight=".72pt" strokecolor="#000000">
            <v:stroke dashstyle="solid"/>
            <w10:wrap type="none"/>
          </v:rect>
        </w:pict>
      </w:r>
      <w:r>
        <w:rPr/>
        <w:pict>
          <v:rect style="position:absolute;margin-left:340.630005pt;margin-top:236.899979pt;width:13.8pt;height:13.8pt;mso-position-horizontal-relative:page;mso-position-vertical-relative:page;z-index:-39976" filled="false" stroked="true" strokeweight=".72pt" strokecolor="#000000">
            <v:stroke dashstyle="solid"/>
            <w10:wrap type="none"/>
          </v:rect>
        </w:pict>
      </w:r>
      <w:r>
        <w:rPr/>
        <w:pict>
          <v:rect style="position:absolute;margin-left:381.549988pt;margin-top:236.899979pt;width:13.8pt;height:13.8pt;mso-position-horizontal-relative:page;mso-position-vertical-relative:page;z-index:-39952" filled="false" stroked="true" strokeweight=".72pt" strokecolor="#000000">
            <v:stroke dashstyle="solid"/>
            <w10:wrap type="none"/>
          </v:rect>
        </w:pict>
      </w:r>
      <w:r>
        <w:rPr/>
        <w:pict>
          <v:rect style="position:absolute;margin-left:295.730011pt;margin-top:328.969971pt;width:13.8pt;height:13.8pt;mso-position-horizontal-relative:page;mso-position-vertical-relative:page;z-index:-39928" filled="false" stroked="true" strokeweight=".72pt" strokecolor="#000000">
            <v:stroke dashstyle="solid"/>
            <w10:wrap type="none"/>
          </v:rect>
        </w:pict>
      </w:r>
      <w:r>
        <w:rPr/>
        <w:pict>
          <v:rect style="position:absolute;margin-left:340.630005pt;margin-top:328.969971pt;width:13.8pt;height:13.8pt;mso-position-horizontal-relative:page;mso-position-vertical-relative:page;z-index:-39904" filled="false" stroked="true" strokeweight=".72pt" strokecolor="#000000">
            <v:stroke dashstyle="solid"/>
            <w10:wrap type="none"/>
          </v:rect>
        </w:pict>
      </w:r>
      <w:r>
        <w:rPr/>
        <w:pict>
          <v:rect style="position:absolute;margin-left:381.549988pt;margin-top:328.969971pt;width:13.8pt;height:13.8pt;mso-position-horizontal-relative:page;mso-position-vertical-relative:page;z-index:-39880" filled="false" stroked="true" strokeweight=".72pt" strokecolor="#000000">
            <v:stroke dashstyle="solid"/>
            <w10:wrap type="none"/>
          </v:rect>
        </w:pict>
      </w:r>
      <w:r>
        <w:rPr/>
        <w:pict>
          <v:rect style="position:absolute;margin-left:295.730011pt;margin-top:413.209991pt;width:13.8pt;height:13.8pt;mso-position-horizontal-relative:page;mso-position-vertical-relative:page;z-index:-39856" filled="false" stroked="true" strokeweight=".72pt" strokecolor="#000000">
            <v:stroke dashstyle="solid"/>
            <w10:wrap type="none"/>
          </v:rect>
        </w:pict>
      </w:r>
      <w:r>
        <w:rPr/>
        <w:pict>
          <v:rect style="position:absolute;margin-left:340.630005pt;margin-top:413.209991pt;width:13.8pt;height:13.8pt;mso-position-horizontal-relative:page;mso-position-vertical-relative:page;z-index:-39832" filled="false" stroked="true" strokeweight=".72pt" strokecolor="#000000">
            <v:stroke dashstyle="solid"/>
            <w10:wrap type="none"/>
          </v:rect>
        </w:pict>
      </w:r>
      <w:r>
        <w:rPr/>
        <w:pict>
          <v:rect style="position:absolute;margin-left:381.549988pt;margin-top:413.209991pt;width:13.8pt;height:13.8pt;mso-position-horizontal-relative:page;mso-position-vertical-relative:page;z-index:-39808" filled="false" stroked="true" strokeweight=".72pt" strokecolor="#000000">
            <v:stroke dashstyle="solid"/>
            <w10:wrap type="none"/>
          </v:rect>
        </w:pict>
      </w:r>
      <w:r>
        <w:rPr/>
        <w:pict>
          <v:rect style="position:absolute;margin-left:295.730011pt;margin-top:501.789978pt;width:13.8pt;height:13.8pt;mso-position-horizontal-relative:page;mso-position-vertical-relative:page;z-index:-39784" filled="false" stroked="true" strokeweight=".72pt" strokecolor="#000000">
            <v:stroke dashstyle="solid"/>
            <w10:wrap type="none"/>
          </v:rect>
        </w:pict>
      </w:r>
      <w:r>
        <w:rPr/>
        <w:pict>
          <v:rect style="position:absolute;margin-left:340.630005pt;margin-top:501.789978pt;width:13.8pt;height:13.8pt;mso-position-horizontal-relative:page;mso-position-vertical-relative:page;z-index:-39760" filled="false" stroked="true" strokeweight=".72pt" strokecolor="#000000">
            <v:stroke dashstyle="solid"/>
            <w10:wrap type="none"/>
          </v:rect>
        </w:pict>
      </w:r>
      <w:r>
        <w:rPr/>
        <w:pict>
          <v:rect style="position:absolute;margin-left:381.549988pt;margin-top:501.789978pt;width:13.8pt;height:13.8pt;mso-position-horizontal-relative:page;mso-position-vertical-relative:page;z-index:-39736" filled="false" stroked="true" strokeweight=".72pt" strokecolor="#000000">
            <v:stroke dashstyle="solid"/>
            <w10:wrap type="none"/>
          </v:rect>
        </w:pict>
      </w:r>
      <w:r>
        <w:rPr/>
        <w:pict>
          <v:rect style="position:absolute;margin-left:295.730011pt;margin-top:594.190002pt;width:13.8pt;height:13.8pt;mso-position-horizontal-relative:page;mso-position-vertical-relative:page;z-index:-39712" filled="false" stroked="true" strokeweight=".72pt" strokecolor="#000000">
            <v:stroke dashstyle="solid"/>
            <w10:wrap type="none"/>
          </v:rect>
        </w:pict>
      </w:r>
      <w:r>
        <w:rPr/>
        <w:pict>
          <v:rect style="position:absolute;margin-left:340.630005pt;margin-top:594.190002pt;width:13.8pt;height:13.8pt;mso-position-horizontal-relative:page;mso-position-vertical-relative:page;z-index:-39688" filled="false" stroked="true" strokeweight=".72pt" strokecolor="#000000">
            <v:stroke dashstyle="solid"/>
            <w10:wrap type="none"/>
          </v:rect>
        </w:pict>
      </w:r>
      <w:r>
        <w:rPr/>
        <w:pict>
          <v:rect style="position:absolute;margin-left:381.549988pt;margin-top:594.190002pt;width:13.8pt;height:13.8pt;mso-position-horizontal-relative:page;mso-position-vertical-relative:page;z-index:-39664" filled="false" stroked="true" strokeweight=".72pt" strokecolor="#000000">
            <v:stroke dashstyle="solid"/>
            <w10:wrap type="none"/>
          </v:rect>
        </w:pict>
      </w:r>
      <w:r>
        <w:rPr/>
        <w:pict>
          <v:rect style="position:absolute;margin-left:295.730011pt;margin-top:682.899963pt;width:13.8pt;height:13.8pt;mso-position-horizontal-relative:page;mso-position-vertical-relative:page;z-index:-39640" filled="false" stroked="true" strokeweight=".72pt" strokecolor="#000000">
            <v:stroke dashstyle="solid"/>
            <w10:wrap type="none"/>
          </v:rect>
        </w:pict>
      </w:r>
      <w:r>
        <w:rPr/>
        <w:pict>
          <v:rect style="position:absolute;margin-left:340.630005pt;margin-top:682.899963pt;width:13.8pt;height:13.8pt;mso-position-horizontal-relative:page;mso-position-vertical-relative:page;z-index:-39616" filled="false" stroked="true" strokeweight=".72pt" strokecolor="#000000">
            <v:stroke dashstyle="solid"/>
            <w10:wrap type="none"/>
          </v:rect>
        </w:pict>
      </w:r>
      <w:r>
        <w:rPr/>
        <w:pict>
          <v:rect style="position:absolute;margin-left:381.549988pt;margin-top:682.899963pt;width:13.8pt;height:13.8pt;mso-position-horizontal-relative:page;mso-position-vertical-relative:page;z-index:-39592" filled="false" stroked="true" strokeweight=".72pt" strokecolor="#000000">
            <v:stroke dashstyle="solid"/>
            <w10:wrap type="none"/>
          </v:rect>
        </w:pict>
      </w:r>
      <w:r>
        <w:rPr/>
        <w:t>APPLICATION TO USE LAND FOR FARMING ACTIVITY IN</w:t>
      </w:r>
      <w:r>
        <w:rPr>
          <w:spacing w:val="-18"/>
        </w:rPr>
        <w:t> </w:t>
      </w:r>
      <w:r>
        <w:rPr/>
        <w:t>ORANGE ZONE</w:t>
        <w:tab/>
        <w:t>PAGE 11</w:t>
      </w:r>
      <w:r>
        <w:rPr>
          <w:spacing w:val="-2"/>
        </w:rPr>
        <w:t> </w:t>
      </w:r>
      <w:r>
        <w:rPr/>
        <w:t>OF</w:t>
      </w:r>
      <w:r>
        <w:rPr>
          <w:spacing w:val="-2"/>
        </w:rPr>
        <w:t> </w:t>
      </w:r>
      <w:r>
        <w:rPr/>
        <w:t>15</w:t>
        <w:tab/>
        <w:t>March 2016</w:t>
      </w:r>
    </w:p>
    <w:p>
      <w:pPr>
        <w:pStyle w:val="BodyText"/>
        <w:rPr>
          <w:sz w:val="20"/>
        </w:rPr>
      </w:pPr>
    </w:p>
    <w:p>
      <w:pPr>
        <w:pStyle w:val="BodyText"/>
        <w:spacing w:before="8"/>
        <w:rPr>
          <w:sz w:val="22"/>
        </w:rPr>
      </w:pPr>
    </w:p>
    <w:p>
      <w:pPr>
        <w:pStyle w:val="Heading2"/>
        <w:numPr>
          <w:ilvl w:val="2"/>
          <w:numId w:val="20"/>
        </w:numPr>
        <w:tabs>
          <w:tab w:pos="1429" w:val="left" w:leader="none"/>
          <w:tab w:pos="1431" w:val="left" w:leader="none"/>
        </w:tabs>
        <w:spacing w:line="240" w:lineRule="auto" w:before="0" w:after="0"/>
        <w:ind w:left="1430" w:right="0" w:hanging="721"/>
        <w:jc w:val="left"/>
        <w:rPr>
          <w:i/>
        </w:rPr>
      </w:pPr>
      <w:r>
        <w:rPr/>
        <w:pict>
          <v:rect style="position:absolute;margin-left:295.730011pt;margin-top:60.28191pt;width:13.8pt;height:13.8pt;mso-position-horizontal-relative:page;mso-position-vertical-relative:paragraph;z-index:-40072" filled="false" stroked="true" strokeweight=".72pt" strokecolor="#000000">
            <v:stroke dashstyle="solid"/>
            <w10:wrap type="none"/>
          </v:rect>
        </w:pict>
      </w:r>
      <w:r>
        <w:rPr/>
        <w:pict>
          <v:rect style="position:absolute;margin-left:340.630005pt;margin-top:60.28191pt;width:13.8pt;height:13.8pt;mso-position-horizontal-relative:page;mso-position-vertical-relative:paragraph;z-index:-40048" filled="false" stroked="true" strokeweight=".72pt" strokecolor="#000000">
            <v:stroke dashstyle="solid"/>
            <w10:wrap type="none"/>
          </v:rect>
        </w:pict>
      </w:r>
      <w:r>
        <w:rPr/>
        <w:pict>
          <v:rect style="position:absolute;margin-left:381.549988pt;margin-top:60.28191pt;width:13.8pt;height:13.8pt;mso-position-horizontal-relative:page;mso-position-vertical-relative:paragraph;z-index:-40024" filled="false" stroked="true" strokeweight=".72pt" strokecolor="#000000">
            <v:stroke dashstyle="solid"/>
            <w10:wrap type="none"/>
          </v:rect>
        </w:pict>
      </w:r>
      <w:r>
        <w:rPr>
          <w:i/>
        </w:rPr>
        <w:t>Area: Conway River to the Hurunui River and inland to the main</w:t>
      </w:r>
      <w:r>
        <w:rPr>
          <w:i/>
          <w:spacing w:val="-11"/>
        </w:rPr>
        <w:t> </w:t>
      </w:r>
      <w:r>
        <w:rPr>
          <w:i/>
        </w:rPr>
        <w:t>divide</w:t>
      </w:r>
    </w:p>
    <w:p>
      <w:pPr>
        <w:pStyle w:val="BodyText"/>
        <w:spacing w:before="11"/>
        <w:rPr>
          <w:b/>
          <w:i/>
          <w:sz w:val="25"/>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8"/>
        <w:gridCol w:w="3656"/>
        <w:gridCol w:w="2696"/>
        <w:gridCol w:w="3119"/>
      </w:tblGrid>
      <w:tr>
        <w:trPr>
          <w:trHeight w:val="453" w:hRule="atLeast"/>
        </w:trPr>
        <w:tc>
          <w:tcPr>
            <w:tcW w:w="5104" w:type="dxa"/>
            <w:gridSpan w:val="2"/>
          </w:tcPr>
          <w:p>
            <w:pPr>
              <w:pStyle w:val="TableParagraph"/>
              <w:spacing w:before="116"/>
              <w:ind w:left="107"/>
              <w:rPr>
                <w:b/>
                <w:sz w:val="18"/>
              </w:rPr>
            </w:pPr>
            <w:r>
              <w:rPr>
                <w:b/>
                <w:sz w:val="18"/>
              </w:rPr>
              <w:t>Kaupapa</w:t>
            </w:r>
          </w:p>
        </w:tc>
        <w:tc>
          <w:tcPr>
            <w:tcW w:w="2696" w:type="dxa"/>
          </w:tcPr>
          <w:p>
            <w:pPr>
              <w:pStyle w:val="TableParagraph"/>
              <w:spacing w:before="13"/>
              <w:ind w:left="109" w:right="216"/>
              <w:rPr>
                <w:b/>
                <w:sz w:val="18"/>
              </w:rPr>
            </w:pPr>
            <w:r>
              <w:rPr>
                <w:b/>
                <w:sz w:val="18"/>
              </w:rPr>
              <w:t>Will your proposal assist in achieving this?</w:t>
            </w:r>
          </w:p>
        </w:tc>
        <w:tc>
          <w:tcPr>
            <w:tcW w:w="3119" w:type="dxa"/>
          </w:tcPr>
          <w:p>
            <w:pPr>
              <w:pStyle w:val="TableParagraph"/>
              <w:spacing w:before="13"/>
              <w:ind w:left="106"/>
              <w:rPr>
                <w:b/>
                <w:sz w:val="18"/>
              </w:rPr>
            </w:pPr>
            <w:r>
              <w:rPr>
                <w:b/>
                <w:sz w:val="18"/>
              </w:rPr>
              <w:t>Explanation where relevant</w:t>
            </w:r>
          </w:p>
        </w:tc>
      </w:tr>
      <w:tr>
        <w:trPr>
          <w:trHeight w:val="1862" w:hRule="atLeast"/>
        </w:trPr>
        <w:tc>
          <w:tcPr>
            <w:tcW w:w="1448" w:type="dxa"/>
          </w:tcPr>
          <w:p>
            <w:pPr>
              <w:pStyle w:val="TableParagraph"/>
              <w:spacing w:line="207" w:lineRule="exact" w:before="114"/>
              <w:ind w:left="107"/>
              <w:rPr>
                <w:b/>
                <w:sz w:val="18"/>
              </w:rPr>
            </w:pPr>
            <w:r>
              <w:rPr>
                <w:b/>
                <w:sz w:val="18"/>
              </w:rPr>
              <w:t>Papatūāknuku</w:t>
            </w:r>
          </w:p>
          <w:p>
            <w:pPr>
              <w:pStyle w:val="TableParagraph"/>
              <w:numPr>
                <w:ilvl w:val="0"/>
                <w:numId w:val="21"/>
              </w:numPr>
              <w:tabs>
                <w:tab w:pos="259" w:val="left" w:leader="none"/>
              </w:tabs>
              <w:spacing w:line="240" w:lineRule="auto" w:before="0" w:after="0"/>
              <w:ind w:left="107" w:right="206" w:firstLine="0"/>
              <w:jc w:val="left"/>
              <w:rPr>
                <w:b/>
                <w:sz w:val="18"/>
              </w:rPr>
            </w:pPr>
            <w:r>
              <w:rPr>
                <w:b/>
                <w:sz w:val="18"/>
              </w:rPr>
              <w:t>Soil conservation</w:t>
            </w:r>
          </w:p>
          <w:p>
            <w:pPr>
              <w:pStyle w:val="TableParagraph"/>
              <w:numPr>
                <w:ilvl w:val="0"/>
                <w:numId w:val="21"/>
              </w:numPr>
              <w:tabs>
                <w:tab w:pos="259" w:val="left" w:leader="none"/>
              </w:tabs>
              <w:spacing w:line="240" w:lineRule="auto" w:before="1" w:after="0"/>
              <w:ind w:left="259" w:right="0" w:hanging="152"/>
              <w:jc w:val="left"/>
              <w:rPr>
                <w:b/>
                <w:sz w:val="18"/>
              </w:rPr>
            </w:pPr>
            <w:r>
              <w:rPr>
                <w:b/>
                <w:sz w:val="18"/>
              </w:rPr>
              <w:t>Policy</w:t>
            </w:r>
            <w:r>
              <w:rPr>
                <w:b/>
                <w:spacing w:val="-9"/>
                <w:sz w:val="18"/>
              </w:rPr>
              <w:t> </w:t>
            </w:r>
            <w:r>
              <w:rPr>
                <w:b/>
                <w:sz w:val="18"/>
              </w:rPr>
              <w:t>7</w:t>
            </w:r>
          </w:p>
        </w:tc>
        <w:tc>
          <w:tcPr>
            <w:tcW w:w="3656" w:type="dxa"/>
          </w:tcPr>
          <w:p>
            <w:pPr>
              <w:pStyle w:val="TableParagraph"/>
              <w:spacing w:before="119"/>
              <w:ind w:left="107" w:right="647"/>
              <w:rPr>
                <w:sz w:val="18"/>
              </w:rPr>
            </w:pPr>
            <w:r>
              <w:rPr>
                <w:sz w:val="18"/>
              </w:rPr>
              <w:t>To encourage the development of environmentally sustainable farming systems.</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831" w:hRule="atLeast"/>
        </w:trPr>
        <w:tc>
          <w:tcPr>
            <w:tcW w:w="1448" w:type="dxa"/>
          </w:tcPr>
          <w:p>
            <w:pPr>
              <w:pStyle w:val="TableParagraph"/>
              <w:spacing w:line="207" w:lineRule="exact" w:before="114"/>
              <w:ind w:left="107"/>
              <w:rPr>
                <w:b/>
                <w:sz w:val="18"/>
              </w:rPr>
            </w:pPr>
            <w:r>
              <w:rPr>
                <w:b/>
                <w:sz w:val="18"/>
              </w:rPr>
              <w:t>Papatūāknuku</w:t>
            </w:r>
          </w:p>
          <w:p>
            <w:pPr>
              <w:pStyle w:val="TableParagraph"/>
              <w:numPr>
                <w:ilvl w:val="0"/>
                <w:numId w:val="22"/>
              </w:numPr>
              <w:tabs>
                <w:tab w:pos="259" w:val="left" w:leader="none"/>
              </w:tabs>
              <w:spacing w:line="240" w:lineRule="auto" w:before="0" w:after="0"/>
              <w:ind w:left="107" w:right="206" w:firstLine="0"/>
              <w:jc w:val="left"/>
              <w:rPr>
                <w:b/>
                <w:sz w:val="18"/>
              </w:rPr>
            </w:pPr>
            <w:r>
              <w:rPr>
                <w:b/>
                <w:sz w:val="18"/>
              </w:rPr>
              <w:t>Soil conservation</w:t>
            </w:r>
          </w:p>
          <w:p>
            <w:pPr>
              <w:pStyle w:val="TableParagraph"/>
              <w:numPr>
                <w:ilvl w:val="0"/>
                <w:numId w:val="22"/>
              </w:numPr>
              <w:tabs>
                <w:tab w:pos="259" w:val="left" w:leader="none"/>
              </w:tabs>
              <w:spacing w:line="206" w:lineRule="exact" w:before="0" w:after="0"/>
              <w:ind w:left="259" w:right="0" w:hanging="152"/>
              <w:jc w:val="left"/>
              <w:rPr>
                <w:b/>
                <w:sz w:val="18"/>
              </w:rPr>
            </w:pPr>
            <w:r>
              <w:rPr>
                <w:b/>
                <w:sz w:val="18"/>
              </w:rPr>
              <w:t>Policy</w:t>
            </w:r>
            <w:r>
              <w:rPr>
                <w:b/>
                <w:spacing w:val="-9"/>
                <w:sz w:val="18"/>
              </w:rPr>
              <w:t> </w:t>
            </w:r>
            <w:r>
              <w:rPr>
                <w:b/>
                <w:sz w:val="18"/>
              </w:rPr>
              <w:t>9</w:t>
            </w:r>
          </w:p>
        </w:tc>
        <w:tc>
          <w:tcPr>
            <w:tcW w:w="3656" w:type="dxa"/>
          </w:tcPr>
          <w:p>
            <w:pPr>
              <w:pStyle w:val="TableParagraph"/>
              <w:spacing w:before="119"/>
              <w:ind w:left="107" w:right="147"/>
              <w:rPr>
                <w:sz w:val="18"/>
              </w:rPr>
            </w:pPr>
            <w:r>
              <w:rPr>
                <w:sz w:val="18"/>
              </w:rPr>
              <w:t>The kinds of land use activities (e.g. type of farming) that occur in a given area must match land capability (e.g. elevation, slope, soil type), in order to protect soil resources.</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674" w:hRule="atLeast"/>
        </w:trPr>
        <w:tc>
          <w:tcPr>
            <w:tcW w:w="1448" w:type="dxa"/>
          </w:tcPr>
          <w:p>
            <w:pPr>
              <w:pStyle w:val="TableParagraph"/>
              <w:spacing w:line="207" w:lineRule="exact" w:before="114"/>
              <w:ind w:left="107"/>
              <w:rPr>
                <w:b/>
                <w:sz w:val="18"/>
              </w:rPr>
            </w:pPr>
            <w:r>
              <w:rPr>
                <w:b/>
                <w:sz w:val="18"/>
              </w:rPr>
              <w:t>Papatūāknuku</w:t>
            </w:r>
          </w:p>
          <w:p>
            <w:pPr>
              <w:pStyle w:val="TableParagraph"/>
              <w:numPr>
                <w:ilvl w:val="0"/>
                <w:numId w:val="23"/>
              </w:numPr>
              <w:tabs>
                <w:tab w:pos="259" w:val="left" w:leader="none"/>
              </w:tabs>
              <w:spacing w:line="240" w:lineRule="auto" w:before="0" w:after="0"/>
              <w:ind w:left="107" w:right="206" w:firstLine="0"/>
              <w:jc w:val="left"/>
              <w:rPr>
                <w:b/>
                <w:sz w:val="18"/>
              </w:rPr>
            </w:pPr>
            <w:r>
              <w:rPr>
                <w:b/>
                <w:sz w:val="18"/>
              </w:rPr>
              <w:t>Soil conservation</w:t>
            </w:r>
          </w:p>
          <w:p>
            <w:pPr>
              <w:pStyle w:val="TableParagraph"/>
              <w:numPr>
                <w:ilvl w:val="0"/>
                <w:numId w:val="23"/>
              </w:numPr>
              <w:tabs>
                <w:tab w:pos="259" w:val="left" w:leader="none"/>
              </w:tabs>
              <w:spacing w:line="240" w:lineRule="auto" w:before="1" w:after="0"/>
              <w:ind w:left="259" w:right="0" w:hanging="152"/>
              <w:jc w:val="left"/>
              <w:rPr>
                <w:b/>
                <w:sz w:val="18"/>
              </w:rPr>
            </w:pPr>
            <w:r>
              <w:rPr>
                <w:b/>
                <w:sz w:val="18"/>
              </w:rPr>
              <w:t>Policy</w:t>
            </w:r>
            <w:r>
              <w:rPr>
                <w:b/>
                <w:spacing w:val="-9"/>
                <w:sz w:val="18"/>
              </w:rPr>
              <w:t> </w:t>
            </w:r>
            <w:r>
              <w:rPr>
                <w:b/>
                <w:sz w:val="18"/>
              </w:rPr>
              <w:t>11</w:t>
            </w:r>
          </w:p>
        </w:tc>
        <w:tc>
          <w:tcPr>
            <w:tcW w:w="3656" w:type="dxa"/>
          </w:tcPr>
          <w:p>
            <w:pPr>
              <w:pStyle w:val="TableParagraph"/>
              <w:spacing w:before="119"/>
              <w:ind w:left="107" w:right="337"/>
              <w:rPr>
                <w:sz w:val="18"/>
              </w:rPr>
            </w:pPr>
            <w:r>
              <w:rPr>
                <w:sz w:val="18"/>
              </w:rPr>
              <w:t>To advocate that all consents that effect soils are issued for a maximum of no</w:t>
            </w:r>
          </w:p>
          <w:p>
            <w:pPr>
              <w:pStyle w:val="TableParagraph"/>
              <w:spacing w:before="121"/>
              <w:ind w:left="107"/>
              <w:rPr>
                <w:sz w:val="18"/>
              </w:rPr>
            </w:pPr>
            <w:r>
              <w:rPr>
                <w:sz w:val="18"/>
              </w:rPr>
              <w:t>more than 10 years.</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759" w:hRule="atLeast"/>
        </w:trPr>
        <w:tc>
          <w:tcPr>
            <w:tcW w:w="1448" w:type="dxa"/>
          </w:tcPr>
          <w:p>
            <w:pPr>
              <w:pStyle w:val="TableParagraph"/>
              <w:spacing w:line="207" w:lineRule="exact" w:before="114"/>
              <w:ind w:left="107"/>
              <w:rPr>
                <w:b/>
                <w:sz w:val="18"/>
              </w:rPr>
            </w:pPr>
            <w:r>
              <w:rPr>
                <w:b/>
                <w:sz w:val="18"/>
              </w:rPr>
              <w:t>Water quality</w:t>
            </w:r>
          </w:p>
          <w:p>
            <w:pPr>
              <w:pStyle w:val="TableParagraph"/>
              <w:spacing w:line="207" w:lineRule="exact"/>
              <w:ind w:left="107"/>
              <w:rPr>
                <w:b/>
                <w:sz w:val="18"/>
              </w:rPr>
            </w:pPr>
            <w:r>
              <w:rPr>
                <w:b/>
                <w:sz w:val="18"/>
              </w:rPr>
              <w:t>– Policy 6</w:t>
            </w:r>
          </w:p>
        </w:tc>
        <w:tc>
          <w:tcPr>
            <w:tcW w:w="3656" w:type="dxa"/>
          </w:tcPr>
          <w:p>
            <w:pPr>
              <w:pStyle w:val="TableParagraph"/>
              <w:spacing w:before="119"/>
              <w:ind w:left="107" w:right="347"/>
              <w:rPr>
                <w:sz w:val="18"/>
              </w:rPr>
            </w:pPr>
            <w:r>
              <w:rPr>
                <w:sz w:val="18"/>
              </w:rPr>
              <w:t>To require that the relationship between land use activities in upper catchments</w:t>
            </w:r>
          </w:p>
          <w:p>
            <w:pPr>
              <w:pStyle w:val="TableParagraph"/>
              <w:spacing w:before="119"/>
              <w:ind w:left="107" w:right="156"/>
              <w:rPr>
                <w:sz w:val="18"/>
              </w:rPr>
            </w:pPr>
            <w:r>
              <w:rPr>
                <w:sz w:val="18"/>
              </w:rPr>
              <w:t>and the health of coastal ecosystems is recognised and provided for in all decision</w:t>
            </w:r>
          </w:p>
          <w:p>
            <w:pPr>
              <w:pStyle w:val="TableParagraph"/>
              <w:spacing w:before="121"/>
              <w:ind w:left="107"/>
              <w:rPr>
                <w:sz w:val="18"/>
              </w:rPr>
            </w:pPr>
            <w:r>
              <w:rPr>
                <w:sz w:val="18"/>
              </w:rPr>
              <w:t>making relating to coastal environment.</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840" w:hRule="atLeast"/>
        </w:trPr>
        <w:tc>
          <w:tcPr>
            <w:tcW w:w="1448" w:type="dxa"/>
          </w:tcPr>
          <w:p>
            <w:pPr>
              <w:pStyle w:val="TableParagraph"/>
              <w:spacing w:before="114"/>
              <w:ind w:left="107"/>
              <w:rPr>
                <w:b/>
                <w:sz w:val="18"/>
              </w:rPr>
            </w:pPr>
            <w:r>
              <w:rPr>
                <w:b/>
                <w:sz w:val="18"/>
              </w:rPr>
              <w:t>Water Quality</w:t>
            </w:r>
          </w:p>
          <w:p>
            <w:pPr>
              <w:pStyle w:val="TableParagraph"/>
              <w:spacing w:before="2"/>
              <w:ind w:left="107"/>
              <w:rPr>
                <w:b/>
                <w:sz w:val="18"/>
              </w:rPr>
            </w:pPr>
            <w:r>
              <w:rPr>
                <w:b/>
                <w:sz w:val="18"/>
              </w:rPr>
              <w:t>– Policy 6</w:t>
            </w:r>
          </w:p>
        </w:tc>
        <w:tc>
          <w:tcPr>
            <w:tcW w:w="3656" w:type="dxa"/>
          </w:tcPr>
          <w:p>
            <w:pPr>
              <w:pStyle w:val="TableParagraph"/>
              <w:spacing w:before="119"/>
              <w:ind w:left="107" w:right="157"/>
              <w:rPr>
                <w:sz w:val="18"/>
              </w:rPr>
            </w:pPr>
            <w:r>
              <w:rPr>
                <w:sz w:val="18"/>
              </w:rPr>
              <w:t>To avoid adverse impacts on water quality as a result of non-point source pollution, and require that any non-avoidable impacts are mitigated.</w:t>
            </w:r>
          </w:p>
        </w:tc>
        <w:tc>
          <w:tcPr>
            <w:tcW w:w="2696" w:type="dxa"/>
          </w:tcPr>
          <w:p>
            <w:pPr>
              <w:pStyle w:val="TableParagraph"/>
              <w:spacing w:before="11"/>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764" w:hRule="atLeast"/>
        </w:trPr>
        <w:tc>
          <w:tcPr>
            <w:tcW w:w="1448" w:type="dxa"/>
          </w:tcPr>
          <w:p>
            <w:pPr>
              <w:pStyle w:val="TableParagraph"/>
              <w:spacing w:line="207" w:lineRule="exact" w:before="114"/>
              <w:ind w:left="107"/>
              <w:rPr>
                <w:b/>
                <w:sz w:val="18"/>
              </w:rPr>
            </w:pPr>
            <w:r>
              <w:rPr>
                <w:b/>
                <w:sz w:val="18"/>
              </w:rPr>
              <w:t>Water quality</w:t>
            </w:r>
          </w:p>
          <w:p>
            <w:pPr>
              <w:pStyle w:val="TableParagraph"/>
              <w:spacing w:line="207" w:lineRule="exact"/>
              <w:ind w:left="107"/>
              <w:rPr>
                <w:b/>
                <w:sz w:val="18"/>
              </w:rPr>
            </w:pPr>
            <w:r>
              <w:rPr>
                <w:b/>
                <w:sz w:val="18"/>
              </w:rPr>
              <w:t>– Policy 11</w:t>
            </w:r>
          </w:p>
        </w:tc>
        <w:tc>
          <w:tcPr>
            <w:tcW w:w="3656" w:type="dxa"/>
          </w:tcPr>
          <w:p>
            <w:pPr>
              <w:pStyle w:val="TableParagraph"/>
              <w:spacing w:before="119"/>
              <w:ind w:left="107" w:right="127"/>
              <w:rPr>
                <w:sz w:val="18"/>
              </w:rPr>
            </w:pPr>
            <w:r>
              <w:rPr>
                <w:sz w:val="18"/>
              </w:rPr>
              <w:t>To maintain standards of water quality that ensure healthy mahinga kai populations capable of sustaining customary use.</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842" w:hRule="atLeast"/>
        </w:trPr>
        <w:tc>
          <w:tcPr>
            <w:tcW w:w="1448" w:type="dxa"/>
          </w:tcPr>
          <w:p>
            <w:pPr>
              <w:pStyle w:val="TableParagraph"/>
              <w:spacing w:line="207" w:lineRule="exact" w:before="114"/>
              <w:ind w:left="107"/>
              <w:rPr>
                <w:b/>
                <w:sz w:val="18"/>
              </w:rPr>
            </w:pPr>
            <w:r>
              <w:rPr>
                <w:b/>
                <w:sz w:val="18"/>
              </w:rPr>
              <w:t>Water quality</w:t>
            </w:r>
          </w:p>
          <w:p>
            <w:pPr>
              <w:pStyle w:val="TableParagraph"/>
              <w:spacing w:line="207" w:lineRule="exact"/>
              <w:ind w:left="107"/>
              <w:rPr>
                <w:b/>
                <w:sz w:val="18"/>
              </w:rPr>
            </w:pPr>
            <w:r>
              <w:rPr>
                <w:b/>
                <w:sz w:val="18"/>
              </w:rPr>
              <w:t>– Policy 17</w:t>
            </w:r>
          </w:p>
        </w:tc>
        <w:tc>
          <w:tcPr>
            <w:tcW w:w="3656" w:type="dxa"/>
          </w:tcPr>
          <w:p>
            <w:pPr>
              <w:pStyle w:val="TableParagraph"/>
              <w:spacing w:before="119"/>
              <w:ind w:left="107" w:right="156"/>
              <w:rPr>
                <w:sz w:val="18"/>
              </w:rPr>
            </w:pPr>
            <w:r>
              <w:rPr>
                <w:sz w:val="18"/>
              </w:rPr>
              <w:t>To recommend that landowners be required to monitor nitrogen levels, to prevent overloading and adverse effects on water quality.</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295.730011pt;margin-top:40.813934pt;width:13.8pt;height:13.8pt;mso-position-horizontal-relative:page;mso-position-vertical-relative:paragraph;z-index:-39568" filled="false" stroked="true" strokeweight=".72pt" strokecolor="#000000">
            <v:stroke dashstyle="solid"/>
            <w10:wrap type="none"/>
          </v:rect>
        </w:pict>
      </w:r>
      <w:r>
        <w:rPr/>
        <w:pict>
          <v:rect style="position:absolute;margin-left:340.630005pt;margin-top:40.813934pt;width:13.8pt;height:13.8pt;mso-position-horizontal-relative:page;mso-position-vertical-relative:paragraph;z-index:-39544" filled="false" stroked="true" strokeweight=".72pt" strokecolor="#000000">
            <v:stroke dashstyle="solid"/>
            <w10:wrap type="none"/>
          </v:rect>
        </w:pict>
      </w:r>
      <w:r>
        <w:rPr/>
        <w:pict>
          <v:rect style="position:absolute;margin-left:381.549988pt;margin-top:40.813934pt;width:13.8pt;height:13.8pt;mso-position-horizontal-relative:page;mso-position-vertical-relative:paragraph;z-index:-39520" filled="false" stroked="true" strokeweight=".72pt" strokecolor="#000000">
            <v:stroke dashstyle="solid"/>
            <w10:wrap type="none"/>
          </v:rect>
        </w:pict>
      </w:r>
      <w:r>
        <w:rPr/>
        <w:pict>
          <v:rect style="position:absolute;margin-left:295.730011pt;margin-top:132.853943pt;width:13.8pt;height:13.8pt;mso-position-horizontal-relative:page;mso-position-vertical-relative:paragraph;z-index:-39496" filled="false" stroked="true" strokeweight=".72pt" strokecolor="#000000">
            <v:stroke dashstyle="solid"/>
            <w10:wrap type="none"/>
          </v:rect>
        </w:pict>
      </w:r>
      <w:r>
        <w:rPr/>
        <w:pict>
          <v:rect style="position:absolute;margin-left:340.630005pt;margin-top:132.853943pt;width:13.8pt;height:13.8pt;mso-position-horizontal-relative:page;mso-position-vertical-relative:paragraph;z-index:-39472" filled="false" stroked="true" strokeweight=".72pt" strokecolor="#000000">
            <v:stroke dashstyle="solid"/>
            <w10:wrap type="none"/>
          </v:rect>
        </w:pict>
      </w:r>
      <w:r>
        <w:rPr/>
        <w:pict>
          <v:rect style="position:absolute;margin-left:381.549988pt;margin-top:132.853943pt;width:13.8pt;height:13.8pt;mso-position-horizontal-relative:page;mso-position-vertical-relative:paragraph;z-index:-39448" filled="false" stroked="true" strokeweight=".72pt" strokecolor="#000000">
            <v:stroke dashstyle="solid"/>
            <w10:wrap type="none"/>
          </v:rect>
        </w:pict>
      </w:r>
      <w:r>
        <w:rPr/>
        <w:pict>
          <v:rect style="position:absolute;margin-left:295.730011pt;margin-top:224.923935pt;width:13.8pt;height:13.8pt;mso-position-horizontal-relative:page;mso-position-vertical-relative:paragraph;z-index:-39424" filled="false" stroked="true" strokeweight=".72pt" strokecolor="#000000">
            <v:stroke dashstyle="solid"/>
            <w10:wrap type="none"/>
          </v:rect>
        </w:pict>
      </w:r>
      <w:r>
        <w:rPr/>
        <w:pict>
          <v:rect style="position:absolute;margin-left:340.630005pt;margin-top:224.923935pt;width:13.8pt;height:13.8pt;mso-position-horizontal-relative:page;mso-position-vertical-relative:paragraph;z-index:-39400" filled="false" stroked="true" strokeweight=".72pt" strokecolor="#000000">
            <v:stroke dashstyle="solid"/>
            <w10:wrap type="none"/>
          </v:rect>
        </w:pict>
      </w:r>
      <w:r>
        <w:rPr/>
        <w:pict>
          <v:rect style="position:absolute;margin-left:381.549988pt;margin-top:224.923935pt;width:13.8pt;height:13.8pt;mso-position-horizontal-relative:page;mso-position-vertical-relative:paragraph;z-index:-39376" filled="false" stroked="true" strokeweight=".72pt" strokecolor="#000000">
            <v:stroke dashstyle="solid"/>
            <w10:wrap type="none"/>
          </v:rect>
        </w:pict>
      </w:r>
      <w:r>
        <w:rPr/>
        <w:pict>
          <v:rect style="position:absolute;margin-left:295.730011pt;margin-top:650.979980pt;width:13.8pt;height:13.8pt;mso-position-horizontal-relative:page;mso-position-vertical-relative:page;z-index:-39208" filled="false" stroked="true" strokeweight=".72pt" strokecolor="#000000">
            <v:stroke dashstyle="solid"/>
            <w10:wrap type="none"/>
          </v:rect>
        </w:pict>
      </w:r>
      <w:r>
        <w:rPr/>
        <w:pict>
          <v:rect style="position:absolute;margin-left:340.630005pt;margin-top:650.979980pt;width:13.8pt;height:13.8pt;mso-position-horizontal-relative:page;mso-position-vertical-relative:page;z-index:-39184" filled="false" stroked="true" strokeweight=".72pt" strokecolor="#000000">
            <v:stroke dashstyle="solid"/>
            <w10:wrap type="none"/>
          </v:rect>
        </w:pict>
      </w:r>
      <w:r>
        <w:rPr/>
        <w:pict>
          <v:rect style="position:absolute;margin-left:381.549988pt;margin-top:650.979980pt;width:13.8pt;height:13.8pt;mso-position-horizontal-relative:page;mso-position-vertical-relative:page;z-index:-39160" filled="false" stroked="true" strokeweight=".72pt" strokecolor="#000000">
            <v:stroke dashstyle="solid"/>
            <w10:wrap type="none"/>
          </v:rect>
        </w:pict>
      </w:r>
      <w:r>
        <w:rPr/>
        <w:t>APPLICATION TO USE LAND FOR FARMING ACTIVITY IN</w:t>
      </w:r>
      <w:r>
        <w:rPr>
          <w:spacing w:val="-18"/>
        </w:rPr>
        <w:t> </w:t>
      </w:r>
      <w:r>
        <w:rPr/>
        <w:t>ORANGE ZONE</w:t>
        <w:tab/>
        <w:t>PAGE 12</w:t>
      </w:r>
      <w:r>
        <w:rPr>
          <w:spacing w:val="-2"/>
        </w:rPr>
        <w:t> </w:t>
      </w:r>
      <w:r>
        <w:rPr/>
        <w:t>OF</w:t>
      </w:r>
      <w:r>
        <w:rPr>
          <w:spacing w:val="-2"/>
        </w:rPr>
        <w:t> </w:t>
      </w:r>
      <w:r>
        <w:rPr/>
        <w:t>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8"/>
        <w:gridCol w:w="3656"/>
        <w:gridCol w:w="2696"/>
        <w:gridCol w:w="3119"/>
      </w:tblGrid>
      <w:tr>
        <w:trPr>
          <w:trHeight w:val="1831" w:hRule="atLeast"/>
        </w:trPr>
        <w:tc>
          <w:tcPr>
            <w:tcW w:w="1448" w:type="dxa"/>
          </w:tcPr>
          <w:p>
            <w:pPr>
              <w:pStyle w:val="TableParagraph"/>
              <w:spacing w:before="117"/>
              <w:ind w:left="107" w:right="541"/>
              <w:rPr>
                <w:b/>
                <w:sz w:val="18"/>
              </w:rPr>
            </w:pPr>
            <w:r>
              <w:rPr>
                <w:b/>
                <w:sz w:val="18"/>
              </w:rPr>
              <w:t>Tūtae Putaputa (Conway River) – Policy 2</w:t>
            </w:r>
          </w:p>
        </w:tc>
        <w:tc>
          <w:tcPr>
            <w:tcW w:w="3656" w:type="dxa"/>
          </w:tcPr>
          <w:p>
            <w:pPr>
              <w:pStyle w:val="TableParagraph"/>
              <w:spacing w:before="121"/>
              <w:ind w:left="107" w:right="97"/>
              <w:rPr>
                <w:sz w:val="18"/>
              </w:rPr>
            </w:pPr>
            <w:r>
              <w:rPr>
                <w:sz w:val="18"/>
              </w:rPr>
              <w:t>Applications for activities that are within, adjacent to, or may impact on the Tūtae Putaputa Statutory Acknowledgement (SA) area under the NTCSA 1998 will require consultation with both Te Rūnanga o</w:t>
            </w:r>
          </w:p>
          <w:p>
            <w:pPr>
              <w:pStyle w:val="TableParagraph"/>
              <w:spacing w:line="206" w:lineRule="exact"/>
              <w:ind w:left="107"/>
              <w:rPr>
                <w:sz w:val="18"/>
              </w:rPr>
            </w:pPr>
            <w:r>
              <w:rPr>
                <w:sz w:val="18"/>
              </w:rPr>
              <w:t>Kaikōura and Te Rūnanga o Ngāi Tahu.</w:t>
            </w:r>
          </w:p>
        </w:tc>
        <w:tc>
          <w:tcPr>
            <w:tcW w:w="2696" w:type="dxa"/>
          </w:tcPr>
          <w:p>
            <w:pPr>
              <w:pStyle w:val="TableParagraph"/>
              <w:rPr>
                <w:sz w:val="26"/>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830" w:hRule="atLeast"/>
        </w:trPr>
        <w:tc>
          <w:tcPr>
            <w:tcW w:w="1448" w:type="dxa"/>
          </w:tcPr>
          <w:p>
            <w:pPr>
              <w:pStyle w:val="TableParagraph"/>
              <w:spacing w:before="116"/>
              <w:ind w:left="107" w:right="541"/>
              <w:rPr>
                <w:b/>
                <w:sz w:val="18"/>
              </w:rPr>
            </w:pPr>
            <w:r>
              <w:rPr>
                <w:b/>
                <w:sz w:val="18"/>
              </w:rPr>
              <w:t>Tūtae Putaputa (Conway River) – Policy 4</w:t>
            </w:r>
          </w:p>
        </w:tc>
        <w:tc>
          <w:tcPr>
            <w:tcW w:w="3656" w:type="dxa"/>
          </w:tcPr>
          <w:p>
            <w:pPr>
              <w:pStyle w:val="TableParagraph"/>
              <w:spacing w:before="121"/>
              <w:ind w:left="107" w:right="387"/>
              <w:rPr>
                <w:sz w:val="18"/>
              </w:rPr>
            </w:pPr>
            <w:r>
              <w:rPr>
                <w:sz w:val="18"/>
              </w:rPr>
              <w:t>To ensure that activities in the Tūtae Putaputa catchment do not adversely impact the wāhi tapu and wāhi taonga values associated with Tūtae Putaputa.</w:t>
            </w:r>
          </w:p>
        </w:tc>
        <w:tc>
          <w:tcPr>
            <w:tcW w:w="2696" w:type="dxa"/>
          </w:tcPr>
          <w:p>
            <w:pPr>
              <w:pStyle w:val="TableParagraph"/>
              <w:spacing w:before="11"/>
              <w:rPr>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2124" w:hRule="atLeast"/>
        </w:trPr>
        <w:tc>
          <w:tcPr>
            <w:tcW w:w="1448" w:type="dxa"/>
          </w:tcPr>
          <w:p>
            <w:pPr>
              <w:pStyle w:val="TableParagraph"/>
              <w:spacing w:before="114"/>
              <w:ind w:left="107" w:right="541"/>
              <w:rPr>
                <w:b/>
                <w:sz w:val="18"/>
              </w:rPr>
            </w:pPr>
            <w:r>
              <w:rPr>
                <w:b/>
                <w:sz w:val="18"/>
              </w:rPr>
              <w:t>Tūtae Putaputa (Conway River) – Policy 6</w:t>
            </w:r>
          </w:p>
        </w:tc>
        <w:tc>
          <w:tcPr>
            <w:tcW w:w="3656" w:type="dxa"/>
          </w:tcPr>
          <w:p>
            <w:pPr>
              <w:pStyle w:val="TableParagraph"/>
              <w:spacing w:before="119"/>
              <w:ind w:left="107" w:right="127"/>
              <w:rPr>
                <w:sz w:val="18"/>
              </w:rPr>
            </w:pPr>
            <w:r>
              <w:rPr>
                <w:color w:val="202024"/>
                <w:sz w:val="18"/>
              </w:rPr>
              <w:t>To maintain standards of water quality that ensure healthy mahinga kai populations capable of sustaining customary use.</w:t>
            </w:r>
          </w:p>
        </w:tc>
        <w:tc>
          <w:tcPr>
            <w:tcW w:w="2696" w:type="dxa"/>
          </w:tcPr>
          <w:p>
            <w:pPr>
              <w:pStyle w:val="TableParagraph"/>
              <w:rPr>
                <w:sz w:val="26"/>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2248" w:hRule="atLeast"/>
        </w:trPr>
        <w:tc>
          <w:tcPr>
            <w:tcW w:w="1448" w:type="dxa"/>
          </w:tcPr>
          <w:p>
            <w:pPr>
              <w:pStyle w:val="TableParagraph"/>
              <w:spacing w:before="114"/>
              <w:ind w:left="107" w:right="530"/>
              <w:rPr>
                <w:b/>
                <w:sz w:val="18"/>
              </w:rPr>
            </w:pPr>
            <w:r>
              <w:rPr>
                <w:b/>
                <w:sz w:val="18"/>
              </w:rPr>
              <w:t>Tūtae Putaputa (Conway River) – Policy 19</w:t>
            </w:r>
          </w:p>
        </w:tc>
        <w:tc>
          <w:tcPr>
            <w:tcW w:w="3656" w:type="dxa"/>
          </w:tcPr>
          <w:p>
            <w:pPr>
              <w:pStyle w:val="TableParagraph"/>
              <w:spacing w:before="119"/>
              <w:ind w:left="107" w:right="585"/>
              <w:jc w:val="both"/>
              <w:rPr>
                <w:sz w:val="18"/>
              </w:rPr>
            </w:pPr>
            <w:r>
              <w:rPr>
                <w:sz w:val="18"/>
              </w:rPr>
              <w:t>To ensure that activities in the upper catchment have no adverse effect on mahinga kai, water quality and water quantity in the lower catchment.</w:t>
            </w:r>
          </w:p>
        </w:tc>
        <w:tc>
          <w:tcPr>
            <w:tcW w:w="2696" w:type="dxa"/>
          </w:tcPr>
          <w:p>
            <w:pPr>
              <w:pStyle w:val="TableParagraph"/>
              <w:spacing w:before="9"/>
              <w:rPr>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bl>
    <w:p>
      <w:pPr>
        <w:pStyle w:val="Heading2"/>
        <w:numPr>
          <w:ilvl w:val="2"/>
          <w:numId w:val="20"/>
        </w:numPr>
        <w:tabs>
          <w:tab w:pos="1429" w:val="left" w:leader="none"/>
          <w:tab w:pos="1431" w:val="left" w:leader="none"/>
        </w:tabs>
        <w:spacing w:line="240" w:lineRule="auto" w:before="155" w:after="0"/>
        <w:ind w:left="1430" w:right="0" w:hanging="721"/>
        <w:jc w:val="left"/>
        <w:rPr>
          <w:i/>
        </w:rPr>
      </w:pPr>
      <w:r>
        <w:rPr/>
        <w:pict>
          <v:rect style="position:absolute;margin-left:295.730011pt;margin-top:-101.548111pt;width:13.8pt;height:13.8pt;mso-position-horizontal-relative:page;mso-position-vertical-relative:paragraph;z-index:-39352" filled="false" stroked="true" strokeweight=".72pt" strokecolor="#000000">
            <v:stroke dashstyle="solid"/>
            <w10:wrap type="none"/>
          </v:rect>
        </w:pict>
      </w:r>
      <w:r>
        <w:rPr/>
        <w:pict>
          <v:rect style="position:absolute;margin-left:340.630005pt;margin-top:-101.548111pt;width:13.8pt;height:13.8pt;mso-position-horizontal-relative:page;mso-position-vertical-relative:paragraph;z-index:-39328" filled="false" stroked="true" strokeweight=".72pt" strokecolor="#000000">
            <v:stroke dashstyle="solid"/>
            <w10:wrap type="none"/>
          </v:rect>
        </w:pict>
      </w:r>
      <w:r>
        <w:rPr/>
        <w:pict>
          <v:rect style="position:absolute;margin-left:381.549988pt;margin-top:-101.548111pt;width:13.8pt;height:13.8pt;mso-position-horizontal-relative:page;mso-position-vertical-relative:paragraph;z-index:-39304" filled="false" stroked="true" strokeweight=".72pt" strokecolor="#000000">
            <v:stroke dashstyle="solid"/>
            <w10:wrap type="none"/>
          </v:rect>
        </w:pict>
      </w:r>
      <w:r>
        <w:rPr/>
        <w:pict>
          <v:rect style="position:absolute;margin-left:295.730011pt;margin-top:63.471893pt;width:13.8pt;height:13.8pt;mso-position-horizontal-relative:page;mso-position-vertical-relative:paragraph;z-index:-39280" filled="false" stroked="true" strokeweight=".72pt" strokecolor="#000000">
            <v:stroke dashstyle="solid"/>
            <w10:wrap type="none"/>
          </v:rect>
        </w:pict>
      </w:r>
      <w:r>
        <w:rPr/>
        <w:pict>
          <v:rect style="position:absolute;margin-left:340.630005pt;margin-top:63.471893pt;width:13.8pt;height:13.8pt;mso-position-horizontal-relative:page;mso-position-vertical-relative:paragraph;z-index:-39256" filled="false" stroked="true" strokeweight=".72pt" strokecolor="#000000">
            <v:stroke dashstyle="solid"/>
            <w10:wrap type="none"/>
          </v:rect>
        </w:pict>
      </w:r>
      <w:r>
        <w:rPr/>
        <w:pict>
          <v:rect style="position:absolute;margin-left:381.549988pt;margin-top:63.471893pt;width:13.8pt;height:13.8pt;mso-position-horizontal-relative:page;mso-position-vertical-relative:paragraph;z-index:-39232" filled="false" stroked="true" strokeweight=".72pt" strokecolor="#000000">
            <v:stroke dashstyle="solid"/>
            <w10:wrap type="none"/>
          </v:rect>
        </w:pict>
      </w:r>
      <w:r>
        <w:rPr>
          <w:i/>
        </w:rPr>
        <w:t>Area: Coastal</w:t>
      </w:r>
    </w:p>
    <w:p>
      <w:pPr>
        <w:pStyle w:val="BodyText"/>
        <w:spacing w:before="11"/>
        <w:rPr>
          <w:b/>
          <w:i/>
          <w:sz w:val="17"/>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3685"/>
        <w:gridCol w:w="2696"/>
        <w:gridCol w:w="3119"/>
      </w:tblGrid>
      <w:tr>
        <w:trPr>
          <w:trHeight w:val="453" w:hRule="atLeast"/>
        </w:trPr>
        <w:tc>
          <w:tcPr>
            <w:tcW w:w="5104" w:type="dxa"/>
            <w:gridSpan w:val="2"/>
          </w:tcPr>
          <w:p>
            <w:pPr>
              <w:pStyle w:val="TableParagraph"/>
              <w:spacing w:before="116"/>
              <w:ind w:left="107"/>
              <w:rPr>
                <w:b/>
                <w:sz w:val="18"/>
              </w:rPr>
            </w:pPr>
            <w:r>
              <w:rPr>
                <w:b/>
                <w:sz w:val="18"/>
              </w:rPr>
              <w:t>Kaupapa</w:t>
            </w:r>
          </w:p>
        </w:tc>
        <w:tc>
          <w:tcPr>
            <w:tcW w:w="2696" w:type="dxa"/>
          </w:tcPr>
          <w:p>
            <w:pPr>
              <w:pStyle w:val="TableParagraph"/>
              <w:spacing w:before="13"/>
              <w:ind w:left="109" w:right="216"/>
              <w:rPr>
                <w:b/>
                <w:sz w:val="18"/>
              </w:rPr>
            </w:pPr>
            <w:r>
              <w:rPr>
                <w:b/>
                <w:sz w:val="18"/>
              </w:rPr>
              <w:t>Will your proposal assist in achieving this?</w:t>
            </w:r>
          </w:p>
        </w:tc>
        <w:tc>
          <w:tcPr>
            <w:tcW w:w="3119" w:type="dxa"/>
          </w:tcPr>
          <w:p>
            <w:pPr>
              <w:pStyle w:val="TableParagraph"/>
              <w:spacing w:before="13"/>
              <w:ind w:left="106"/>
              <w:rPr>
                <w:b/>
                <w:sz w:val="18"/>
              </w:rPr>
            </w:pPr>
            <w:r>
              <w:rPr>
                <w:b/>
                <w:sz w:val="18"/>
              </w:rPr>
              <w:t>Explanation where relevant</w:t>
            </w:r>
          </w:p>
        </w:tc>
      </w:tr>
      <w:tr>
        <w:trPr>
          <w:trHeight w:val="2179" w:hRule="atLeast"/>
        </w:trPr>
        <w:tc>
          <w:tcPr>
            <w:tcW w:w="1419" w:type="dxa"/>
          </w:tcPr>
          <w:p>
            <w:pPr>
              <w:pStyle w:val="TableParagraph"/>
              <w:spacing w:before="114"/>
              <w:ind w:left="107" w:right="141"/>
              <w:rPr>
                <w:b/>
                <w:sz w:val="18"/>
              </w:rPr>
            </w:pPr>
            <w:r>
              <w:rPr>
                <w:b/>
                <w:sz w:val="18"/>
              </w:rPr>
              <w:t>Farming in coastal areas</w:t>
            </w:r>
          </w:p>
          <w:p>
            <w:pPr>
              <w:pStyle w:val="TableParagraph"/>
              <w:spacing w:before="1"/>
              <w:ind w:left="107"/>
              <w:rPr>
                <w:b/>
                <w:sz w:val="18"/>
              </w:rPr>
            </w:pPr>
            <w:r>
              <w:rPr>
                <w:b/>
                <w:sz w:val="18"/>
              </w:rPr>
              <w:t>– Policy 1</w:t>
            </w:r>
          </w:p>
        </w:tc>
        <w:tc>
          <w:tcPr>
            <w:tcW w:w="3685" w:type="dxa"/>
          </w:tcPr>
          <w:p>
            <w:pPr>
              <w:pStyle w:val="TableParagraph"/>
              <w:spacing w:before="119"/>
              <w:ind w:left="107" w:right="123"/>
              <w:rPr>
                <w:sz w:val="18"/>
              </w:rPr>
            </w:pPr>
            <w:r>
              <w:rPr>
                <w:sz w:val="18"/>
              </w:rPr>
              <w:t>To protect lowland coastal areas from dairy conversion and other intensive farming activity. Low impact pastoral farming, with appropriate stocking rates and good land stewardship is considered the only acceptable farming activity in coastal areas, where such activities are appropriate at</w:t>
            </w:r>
            <w:r>
              <w:rPr>
                <w:spacing w:val="-3"/>
                <w:sz w:val="18"/>
              </w:rPr>
              <w:t> </w:t>
            </w:r>
            <w:r>
              <w:rPr>
                <w:sz w:val="18"/>
              </w:rPr>
              <w:t>all.</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2109" w:hRule="atLeast"/>
        </w:trPr>
        <w:tc>
          <w:tcPr>
            <w:tcW w:w="1419" w:type="dxa"/>
          </w:tcPr>
          <w:p>
            <w:pPr>
              <w:pStyle w:val="TableParagraph"/>
              <w:spacing w:before="114"/>
              <w:ind w:left="107" w:right="141"/>
              <w:rPr>
                <w:b/>
                <w:sz w:val="18"/>
              </w:rPr>
            </w:pPr>
            <w:r>
              <w:rPr>
                <w:b/>
                <w:sz w:val="18"/>
              </w:rPr>
              <w:t>Farming in coastal areas</w:t>
            </w:r>
          </w:p>
          <w:p>
            <w:pPr>
              <w:pStyle w:val="TableParagraph"/>
              <w:spacing w:before="1"/>
              <w:ind w:left="107"/>
              <w:rPr>
                <w:b/>
                <w:sz w:val="18"/>
              </w:rPr>
            </w:pPr>
            <w:r>
              <w:rPr>
                <w:b/>
                <w:sz w:val="18"/>
              </w:rPr>
              <w:t>– Policy 2</w:t>
            </w:r>
          </w:p>
        </w:tc>
        <w:tc>
          <w:tcPr>
            <w:tcW w:w="3685" w:type="dxa"/>
          </w:tcPr>
          <w:p>
            <w:pPr>
              <w:pStyle w:val="TableParagraph"/>
              <w:spacing w:before="119"/>
              <w:ind w:left="107" w:right="355"/>
              <w:rPr>
                <w:sz w:val="18"/>
              </w:rPr>
            </w:pPr>
            <w:r>
              <w:rPr>
                <w:sz w:val="18"/>
              </w:rPr>
              <w:t>To encourage the adoption of “best practice” farming methods as part of developing environmentally sustainable, socially responsible, and economically viable farming systems.</w:t>
            </w:r>
          </w:p>
        </w:tc>
        <w:tc>
          <w:tcPr>
            <w:tcW w:w="2696" w:type="dxa"/>
          </w:tcPr>
          <w:p>
            <w:pPr>
              <w:pStyle w:val="TableParagraph"/>
              <w:spacing w:before="9"/>
              <w:rPr>
                <w:b/>
                <w:i/>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295.730011pt;margin-top:40.813934pt;width:13.8pt;height:13.8pt;mso-position-horizontal-relative:page;mso-position-vertical-relative:paragraph;z-index:-39136" filled="false" stroked="true" strokeweight=".72pt" strokecolor="#000000">
            <v:stroke dashstyle="solid"/>
            <w10:wrap type="none"/>
          </v:rect>
        </w:pict>
      </w:r>
      <w:r>
        <w:rPr/>
        <w:pict>
          <v:rect style="position:absolute;margin-left:340.630005pt;margin-top:40.813934pt;width:13.8pt;height:13.8pt;mso-position-horizontal-relative:page;mso-position-vertical-relative:paragraph;z-index:-39112" filled="false" stroked="true" strokeweight=".72pt" strokecolor="#000000">
            <v:stroke dashstyle="solid"/>
            <w10:wrap type="none"/>
          </v:rect>
        </w:pict>
      </w:r>
      <w:r>
        <w:rPr/>
        <w:pict>
          <v:rect style="position:absolute;margin-left:381.549988pt;margin-top:40.813934pt;width:13.8pt;height:13.8pt;mso-position-horizontal-relative:page;mso-position-vertical-relative:paragraph;z-index:-39088" filled="false" stroked="true" strokeweight=".72pt" strokecolor="#000000">
            <v:stroke dashstyle="solid"/>
            <w10:wrap type="none"/>
          </v:rect>
        </w:pict>
      </w:r>
      <w:r>
        <w:rPr/>
        <w:pict>
          <v:rect style="position:absolute;margin-left:301.850006pt;margin-top:523.98999pt;width:13.8pt;height:13.8pt;mso-position-horizontal-relative:page;mso-position-vertical-relative:page;z-index:-38920" filled="false" stroked="true" strokeweight=".72pt" strokecolor="#000000">
            <v:stroke dashstyle="solid"/>
            <w10:wrap type="none"/>
          </v:rect>
        </w:pict>
      </w:r>
      <w:r>
        <w:rPr/>
        <w:pict>
          <v:rect style="position:absolute;margin-left:346.75pt;margin-top:523.98999pt;width:13.8pt;height:13.8pt;mso-position-horizontal-relative:page;mso-position-vertical-relative:page;z-index:-38896" filled="false" stroked="true" strokeweight=".72pt" strokecolor="#000000">
            <v:stroke dashstyle="solid"/>
            <w10:wrap type="none"/>
          </v:rect>
        </w:pict>
      </w:r>
      <w:r>
        <w:rPr/>
        <w:pict>
          <v:rect style="position:absolute;margin-left:387.670013pt;margin-top:523.98999pt;width:13.8pt;height:13.8pt;mso-position-horizontal-relative:page;mso-position-vertical-relative:page;z-index:-38872" filled="false" stroked="true" strokeweight=".72pt" strokecolor="#000000">
            <v:stroke dashstyle="solid"/>
            <w10:wrap type="none"/>
          </v:rect>
        </w:pict>
      </w:r>
      <w:r>
        <w:rPr/>
        <w:t>APPLICATION TO USE LAND FOR FARMING ACTIVITY IN</w:t>
      </w:r>
      <w:r>
        <w:rPr>
          <w:spacing w:val="-18"/>
        </w:rPr>
        <w:t> </w:t>
      </w:r>
      <w:r>
        <w:rPr/>
        <w:t>ORANGE ZONE</w:t>
        <w:tab/>
        <w:t>PAGE 13</w:t>
      </w:r>
      <w:r>
        <w:rPr>
          <w:spacing w:val="-2"/>
        </w:rPr>
        <w:t> </w:t>
      </w:r>
      <w:r>
        <w:rPr/>
        <w:t>OF</w:t>
      </w:r>
      <w:r>
        <w:rPr>
          <w:spacing w:val="-2"/>
        </w:rPr>
        <w:t> </w:t>
      </w:r>
      <w:r>
        <w:rPr/>
        <w:t>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3685"/>
        <w:gridCol w:w="2696"/>
        <w:gridCol w:w="3119"/>
      </w:tblGrid>
      <w:tr>
        <w:trPr>
          <w:trHeight w:val="2205" w:hRule="atLeast"/>
        </w:trPr>
        <w:tc>
          <w:tcPr>
            <w:tcW w:w="1419" w:type="dxa"/>
          </w:tcPr>
          <w:p>
            <w:pPr>
              <w:pStyle w:val="TableParagraph"/>
              <w:spacing w:before="117"/>
              <w:ind w:left="107" w:right="141"/>
              <w:rPr>
                <w:b/>
                <w:sz w:val="18"/>
              </w:rPr>
            </w:pPr>
            <w:r>
              <w:rPr>
                <w:b/>
                <w:sz w:val="18"/>
              </w:rPr>
              <w:t>Farming in coastal areas</w:t>
            </w:r>
          </w:p>
          <w:p>
            <w:pPr>
              <w:pStyle w:val="TableParagraph"/>
              <w:spacing w:line="206" w:lineRule="exact"/>
              <w:ind w:left="107"/>
              <w:rPr>
                <w:b/>
                <w:sz w:val="18"/>
              </w:rPr>
            </w:pPr>
            <w:r>
              <w:rPr>
                <w:b/>
                <w:sz w:val="18"/>
              </w:rPr>
              <w:t>– Policy 3</w:t>
            </w:r>
          </w:p>
        </w:tc>
        <w:tc>
          <w:tcPr>
            <w:tcW w:w="3685" w:type="dxa"/>
          </w:tcPr>
          <w:p>
            <w:pPr>
              <w:pStyle w:val="TableParagraph"/>
              <w:spacing w:before="121"/>
              <w:ind w:left="107" w:right="155"/>
              <w:rPr>
                <w:sz w:val="18"/>
              </w:rPr>
            </w:pPr>
            <w:r>
              <w:rPr>
                <w:color w:val="202024"/>
                <w:sz w:val="18"/>
              </w:rPr>
              <w:t>To avoid the establishment or continuance of any use or activity that has the potential to result in the contamination of land or water unless effective precautions have been taken to avoid adverse effects on the environment.</w:t>
            </w:r>
          </w:p>
        </w:tc>
        <w:tc>
          <w:tcPr>
            <w:tcW w:w="2696" w:type="dxa"/>
          </w:tcPr>
          <w:p>
            <w:pPr>
              <w:pStyle w:val="TableParagraph"/>
              <w:rPr>
                <w:sz w:val="26"/>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r>
        <w:trPr>
          <w:trHeight w:val="1977" w:hRule="atLeast"/>
        </w:trPr>
        <w:tc>
          <w:tcPr>
            <w:tcW w:w="1419" w:type="dxa"/>
          </w:tcPr>
          <w:p>
            <w:pPr>
              <w:pStyle w:val="TableParagraph"/>
              <w:spacing w:before="114"/>
              <w:ind w:left="107" w:right="141"/>
              <w:rPr>
                <w:b/>
                <w:sz w:val="18"/>
              </w:rPr>
            </w:pPr>
            <w:r>
              <w:rPr>
                <w:b/>
                <w:sz w:val="18"/>
              </w:rPr>
              <w:t>Farming in coastal areas</w:t>
            </w:r>
          </w:p>
          <w:p>
            <w:pPr>
              <w:pStyle w:val="TableParagraph"/>
              <w:spacing w:before="1"/>
              <w:ind w:left="107"/>
              <w:rPr>
                <w:b/>
                <w:sz w:val="18"/>
              </w:rPr>
            </w:pPr>
            <w:r>
              <w:rPr>
                <w:b/>
                <w:sz w:val="18"/>
              </w:rPr>
              <w:t>– Policy 4</w:t>
            </w:r>
          </w:p>
        </w:tc>
        <w:tc>
          <w:tcPr>
            <w:tcW w:w="3685" w:type="dxa"/>
          </w:tcPr>
          <w:p>
            <w:pPr>
              <w:pStyle w:val="TableParagraph"/>
              <w:spacing w:before="119"/>
              <w:ind w:left="107" w:right="164"/>
              <w:jc w:val="both"/>
              <w:rPr>
                <w:sz w:val="18"/>
              </w:rPr>
            </w:pPr>
            <w:r>
              <w:rPr>
                <w:sz w:val="18"/>
              </w:rPr>
              <w:t>The kinds of farming activities that occur in a given area (land use) should match land capability (e.g. elevation, slope, soil type).</w:t>
            </w:r>
          </w:p>
        </w:tc>
        <w:tc>
          <w:tcPr>
            <w:tcW w:w="2696" w:type="dxa"/>
          </w:tcPr>
          <w:p>
            <w:pPr>
              <w:pStyle w:val="TableParagraph"/>
              <w:spacing w:before="11"/>
              <w:rPr>
                <w:sz w:val="25"/>
              </w:rPr>
            </w:pPr>
          </w:p>
          <w:p>
            <w:pPr>
              <w:pStyle w:val="TableParagraph"/>
              <w:tabs>
                <w:tab w:pos="897" w:val="left" w:leader="none"/>
                <w:tab w:pos="1728" w:val="left" w:leader="none"/>
              </w:tabs>
              <w:ind w:right="157"/>
              <w:jc w:val="right"/>
              <w:rPr>
                <w:sz w:val="18"/>
              </w:rPr>
            </w:pPr>
            <w:r>
              <w:rPr>
                <w:sz w:val="18"/>
              </w:rPr>
              <w:t>Yes</w:t>
              <w:tab/>
              <w:t>No</w:t>
              <w:tab/>
              <w:t>N/A</w:t>
            </w:r>
          </w:p>
        </w:tc>
        <w:tc>
          <w:tcPr>
            <w:tcW w:w="3119" w:type="dxa"/>
          </w:tcPr>
          <w:p>
            <w:pPr>
              <w:pStyle w:val="TableParagraph"/>
              <w:rPr>
                <w:rFonts w:ascii="Times New Roman"/>
                <w:sz w:val="18"/>
              </w:rPr>
            </w:pPr>
          </w:p>
        </w:tc>
      </w:tr>
    </w:tbl>
    <w:p>
      <w:pPr>
        <w:pStyle w:val="BodyText"/>
        <w:rPr>
          <w:sz w:val="18"/>
        </w:rPr>
      </w:pPr>
    </w:p>
    <w:p>
      <w:pPr>
        <w:pStyle w:val="Heading3"/>
        <w:numPr>
          <w:ilvl w:val="1"/>
          <w:numId w:val="20"/>
        </w:numPr>
        <w:tabs>
          <w:tab w:pos="1002" w:val="left" w:leader="none"/>
          <w:tab w:pos="1003" w:val="left" w:leader="none"/>
        </w:tabs>
        <w:spacing w:line="240" w:lineRule="auto" w:before="113" w:after="0"/>
        <w:ind w:left="1002" w:right="0" w:hanging="576"/>
        <w:jc w:val="left"/>
      </w:pPr>
      <w:r>
        <w:rPr/>
        <w:pict>
          <v:rect style="position:absolute;margin-left:295.730011pt;margin-top:-98.258118pt;width:13.8pt;height:13.8pt;mso-position-horizontal-relative:page;mso-position-vertical-relative:paragraph;z-index:-39064" filled="false" stroked="true" strokeweight=".72pt" strokecolor="#000000">
            <v:stroke dashstyle="solid"/>
            <w10:wrap type="none"/>
          </v:rect>
        </w:pict>
      </w:r>
      <w:r>
        <w:rPr/>
        <w:pict>
          <v:rect style="position:absolute;margin-left:340.630005pt;margin-top:-98.258118pt;width:13.8pt;height:13.8pt;mso-position-horizontal-relative:page;mso-position-vertical-relative:paragraph;z-index:-39040" filled="false" stroked="true" strokeweight=".72pt" strokecolor="#000000">
            <v:stroke dashstyle="solid"/>
            <w10:wrap type="none"/>
          </v:rect>
        </w:pict>
      </w:r>
      <w:r>
        <w:rPr/>
        <w:pict>
          <v:rect style="position:absolute;margin-left:381.549988pt;margin-top:-98.258118pt;width:13.8pt;height:13.8pt;mso-position-horizontal-relative:page;mso-position-vertical-relative:paragraph;z-index:-39016" filled="false" stroked="true" strokeweight=".72pt" strokecolor="#000000">
            <v:stroke dashstyle="solid"/>
            <w10:wrap type="none"/>
          </v:rect>
        </w:pict>
      </w:r>
      <w:r>
        <w:rPr>
          <w:b/>
        </w:rPr>
        <w:t>IMP: MAHAANUI </w:t>
      </w:r>
      <w:r>
        <w:rPr/>
        <w:t>(WITHIN TAKIWĀ OF </w:t>
      </w:r>
      <w:r>
        <w:rPr>
          <w:u w:val="single"/>
        </w:rPr>
        <w:t>TE TAUMUTU</w:t>
      </w:r>
      <w:r>
        <w:rPr/>
        <w:t>,</w:t>
      </w:r>
      <w:r>
        <w:rPr>
          <w:u w:val="single"/>
        </w:rPr>
        <w:t> TE NGĀI TŪĀHURIRI</w:t>
      </w:r>
      <w:r>
        <w:rPr/>
        <w:t>,</w:t>
      </w:r>
      <w:r>
        <w:rPr>
          <w:u w:val="single"/>
        </w:rPr>
        <w:t> TE HAPŪ O NGĀTI WHEKE</w:t>
      </w:r>
      <w:r>
        <w:rPr>
          <w:spacing w:val="-15"/>
          <w:u w:val="single"/>
        </w:rPr>
        <w:t> </w:t>
      </w:r>
      <w:r>
        <w:rPr>
          <w:u w:val="single"/>
        </w:rPr>
        <w:t>(RĀPAKI)</w:t>
      </w:r>
      <w:r>
        <w:rPr/>
        <w:t>,</w:t>
      </w:r>
    </w:p>
    <w:p>
      <w:pPr>
        <w:spacing w:before="5"/>
        <w:ind w:left="1002" w:right="0" w:firstLine="0"/>
        <w:jc w:val="left"/>
        <w:rPr>
          <w:sz w:val="18"/>
        </w:rPr>
      </w:pPr>
      <w:r>
        <w:rPr>
          <w:rFonts w:ascii="Times New Roman" w:hAnsi="Times New Roman"/>
          <w:sz w:val="18"/>
          <w:u w:val="single"/>
        </w:rPr>
        <w:t> </w:t>
      </w:r>
      <w:r>
        <w:rPr>
          <w:sz w:val="18"/>
          <w:u w:val="single"/>
        </w:rPr>
        <w:t>ŌNUKU</w:t>
      </w:r>
      <w:r>
        <w:rPr>
          <w:sz w:val="18"/>
        </w:rPr>
        <w:t>,</w:t>
      </w:r>
      <w:r>
        <w:rPr>
          <w:sz w:val="18"/>
          <w:u w:val="single"/>
        </w:rPr>
        <w:t> KOUKOURĀRATA</w:t>
      </w:r>
      <w:r>
        <w:rPr>
          <w:sz w:val="18"/>
        </w:rPr>
        <w:t>, &amp;</w:t>
      </w:r>
      <w:r>
        <w:rPr>
          <w:sz w:val="18"/>
          <w:u w:val="single"/>
        </w:rPr>
        <w:t> WAIREWA RŪNANGA</w:t>
      </w:r>
      <w:r>
        <w:rPr>
          <w:sz w:val="18"/>
        </w:rPr>
        <w:t>)</w:t>
      </w:r>
    </w:p>
    <w:p>
      <w:pPr>
        <w:pStyle w:val="BodyText"/>
        <w:spacing w:before="6"/>
        <w:rPr>
          <w:sz w:val="10"/>
        </w:rPr>
      </w:pPr>
    </w:p>
    <w:p>
      <w:pPr>
        <w:pStyle w:val="ListParagraph"/>
        <w:numPr>
          <w:ilvl w:val="2"/>
          <w:numId w:val="20"/>
        </w:numPr>
        <w:tabs>
          <w:tab w:pos="1429" w:val="left" w:leader="none"/>
          <w:tab w:pos="1431" w:val="left" w:leader="none"/>
        </w:tabs>
        <w:spacing w:line="240" w:lineRule="auto" w:before="94" w:after="0"/>
        <w:ind w:left="1430" w:right="0" w:hanging="721"/>
        <w:jc w:val="left"/>
        <w:rPr>
          <w:b/>
          <w:i/>
          <w:sz w:val="18"/>
        </w:rPr>
      </w:pPr>
      <w:r>
        <w:rPr/>
        <w:pict>
          <v:rect style="position:absolute;margin-left:301.850006pt;margin-top:59.461887pt;width:13.8pt;height:13.8pt;mso-position-horizontal-relative:page;mso-position-vertical-relative:paragraph;z-index:-38992" filled="false" stroked="true" strokeweight=".72pt" strokecolor="#000000">
            <v:stroke dashstyle="solid"/>
            <w10:wrap type="none"/>
          </v:rect>
        </w:pict>
      </w:r>
      <w:r>
        <w:rPr/>
        <w:pict>
          <v:rect style="position:absolute;margin-left:346.75pt;margin-top:59.461887pt;width:13.8pt;height:13.8pt;mso-position-horizontal-relative:page;mso-position-vertical-relative:paragraph;z-index:-38968" filled="false" stroked="true" strokeweight=".72pt" strokecolor="#000000">
            <v:stroke dashstyle="solid"/>
            <w10:wrap type="none"/>
          </v:rect>
        </w:pict>
      </w:r>
      <w:r>
        <w:rPr/>
        <w:pict>
          <v:rect style="position:absolute;margin-left:387.670013pt;margin-top:59.461887pt;width:13.8pt;height:13.8pt;mso-position-horizontal-relative:page;mso-position-vertical-relative:paragraph;z-index:-38944" filled="false" stroked="true" strokeweight=".72pt" strokecolor="#000000">
            <v:stroke dashstyle="solid"/>
            <w10:wrap type="none"/>
          </v:rect>
        </w:pict>
      </w:r>
      <w:r>
        <w:rPr>
          <w:b/>
          <w:i/>
          <w:sz w:val="18"/>
        </w:rPr>
        <w:t>Area: Hurunui River to Hakatere/ Ashburton</w:t>
      </w:r>
      <w:r>
        <w:rPr>
          <w:b/>
          <w:i/>
          <w:spacing w:val="-1"/>
          <w:sz w:val="18"/>
        </w:rPr>
        <w:t> </w:t>
      </w:r>
      <w:r>
        <w:rPr>
          <w:b/>
          <w:i/>
          <w:sz w:val="18"/>
        </w:rPr>
        <w:t>River</w:t>
      </w:r>
    </w:p>
    <w:p>
      <w:pPr>
        <w:pStyle w:val="BodyText"/>
        <w:rPr>
          <w:b/>
          <w:i/>
          <w:sz w:val="18"/>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3882"/>
        <w:gridCol w:w="2713"/>
        <w:gridCol w:w="2977"/>
      </w:tblGrid>
      <w:tr>
        <w:trPr>
          <w:trHeight w:val="433" w:hRule="atLeast"/>
        </w:trPr>
        <w:tc>
          <w:tcPr>
            <w:tcW w:w="5229" w:type="dxa"/>
            <w:gridSpan w:val="2"/>
          </w:tcPr>
          <w:p>
            <w:pPr>
              <w:pStyle w:val="TableParagraph"/>
              <w:spacing w:before="107"/>
              <w:ind w:left="107"/>
              <w:rPr>
                <w:b/>
                <w:sz w:val="18"/>
              </w:rPr>
            </w:pPr>
            <w:r>
              <w:rPr>
                <w:b/>
                <w:sz w:val="18"/>
              </w:rPr>
              <w:t>Kaupapa</w:t>
            </w:r>
          </w:p>
        </w:tc>
        <w:tc>
          <w:tcPr>
            <w:tcW w:w="2713" w:type="dxa"/>
          </w:tcPr>
          <w:p>
            <w:pPr>
              <w:pStyle w:val="TableParagraph"/>
              <w:spacing w:line="206" w:lineRule="exact" w:before="17"/>
              <w:ind w:left="107" w:right="235"/>
              <w:rPr>
                <w:b/>
                <w:sz w:val="18"/>
              </w:rPr>
            </w:pPr>
            <w:r>
              <w:rPr>
                <w:b/>
                <w:sz w:val="18"/>
              </w:rPr>
              <w:t>Will your proposal assist in achieving this?</w:t>
            </w:r>
          </w:p>
        </w:tc>
        <w:tc>
          <w:tcPr>
            <w:tcW w:w="2977" w:type="dxa"/>
          </w:tcPr>
          <w:p>
            <w:pPr>
              <w:pStyle w:val="TableParagraph"/>
              <w:spacing w:before="13"/>
              <w:ind w:left="106"/>
              <w:rPr>
                <w:b/>
                <w:sz w:val="18"/>
              </w:rPr>
            </w:pPr>
            <w:r>
              <w:rPr>
                <w:b/>
                <w:sz w:val="18"/>
              </w:rPr>
              <w:t>Explanation where relevant</w:t>
            </w:r>
          </w:p>
        </w:tc>
      </w:tr>
      <w:tr>
        <w:trPr>
          <w:trHeight w:val="2731" w:hRule="atLeast"/>
        </w:trPr>
        <w:tc>
          <w:tcPr>
            <w:tcW w:w="1347" w:type="dxa"/>
          </w:tcPr>
          <w:p>
            <w:pPr>
              <w:pStyle w:val="TableParagraph"/>
              <w:spacing w:before="13"/>
              <w:ind w:left="107" w:right="249"/>
              <w:rPr>
                <w:b/>
                <w:sz w:val="18"/>
              </w:rPr>
            </w:pPr>
            <w:r>
              <w:rPr>
                <w:b/>
                <w:sz w:val="18"/>
              </w:rPr>
              <w:t>Wai Māori - Policy WM7.1</w:t>
            </w:r>
          </w:p>
        </w:tc>
        <w:tc>
          <w:tcPr>
            <w:tcW w:w="3882" w:type="dxa"/>
          </w:tcPr>
          <w:p>
            <w:pPr>
              <w:pStyle w:val="TableParagraph"/>
              <w:spacing w:before="18"/>
              <w:ind w:left="110" w:right="149"/>
              <w:rPr>
                <w:sz w:val="18"/>
              </w:rPr>
            </w:pPr>
            <w:r>
              <w:rPr>
                <w:sz w:val="18"/>
              </w:rPr>
              <w:t>To require that rural land and water planning, management and use recognises and provides for:</w:t>
            </w:r>
          </w:p>
          <w:p>
            <w:pPr>
              <w:pStyle w:val="TableParagraph"/>
              <w:numPr>
                <w:ilvl w:val="0"/>
                <w:numId w:val="24"/>
              </w:numPr>
              <w:tabs>
                <w:tab w:pos="469" w:val="left" w:leader="none"/>
                <w:tab w:pos="470" w:val="left" w:leader="none"/>
              </w:tabs>
              <w:spacing w:line="240" w:lineRule="auto" w:before="20" w:after="0"/>
              <w:ind w:left="470" w:right="750" w:hanging="360"/>
              <w:jc w:val="left"/>
              <w:rPr>
                <w:sz w:val="18"/>
              </w:rPr>
            </w:pPr>
            <w:r>
              <w:rPr>
                <w:sz w:val="18"/>
              </w:rPr>
              <w:t>Catchment boundaries and</w:t>
            </w:r>
            <w:r>
              <w:rPr>
                <w:spacing w:val="-13"/>
                <w:sz w:val="18"/>
              </w:rPr>
              <w:t> </w:t>
            </w:r>
            <w:r>
              <w:rPr>
                <w:sz w:val="18"/>
              </w:rPr>
              <w:t>water availability;</w:t>
            </w:r>
          </w:p>
          <w:p>
            <w:pPr>
              <w:pStyle w:val="TableParagraph"/>
              <w:numPr>
                <w:ilvl w:val="0"/>
                <w:numId w:val="24"/>
              </w:numPr>
              <w:tabs>
                <w:tab w:pos="469" w:val="left" w:leader="none"/>
                <w:tab w:pos="470" w:val="left" w:leader="none"/>
              </w:tabs>
              <w:spacing w:line="240" w:lineRule="auto" w:before="1" w:after="0"/>
              <w:ind w:left="470" w:right="440" w:hanging="360"/>
              <w:jc w:val="left"/>
              <w:rPr>
                <w:sz w:val="18"/>
              </w:rPr>
            </w:pPr>
            <w:r>
              <w:rPr>
                <w:sz w:val="18"/>
              </w:rPr>
              <w:t>Water quality and quantity</w:t>
            </w:r>
            <w:r>
              <w:rPr>
                <w:spacing w:val="-14"/>
                <w:sz w:val="18"/>
              </w:rPr>
              <w:t> </w:t>
            </w:r>
            <w:r>
              <w:rPr>
                <w:sz w:val="18"/>
              </w:rPr>
              <w:t>thresholds and</w:t>
            </w:r>
            <w:r>
              <w:rPr>
                <w:spacing w:val="-1"/>
                <w:sz w:val="18"/>
              </w:rPr>
              <w:t> </w:t>
            </w:r>
            <w:r>
              <w:rPr>
                <w:sz w:val="18"/>
              </w:rPr>
              <w:t>limits;</w:t>
            </w:r>
          </w:p>
          <w:p>
            <w:pPr>
              <w:pStyle w:val="TableParagraph"/>
              <w:numPr>
                <w:ilvl w:val="0"/>
                <w:numId w:val="24"/>
              </w:numPr>
              <w:tabs>
                <w:tab w:pos="469" w:val="left" w:leader="none"/>
                <w:tab w:pos="470" w:val="left" w:leader="none"/>
              </w:tabs>
              <w:spacing w:line="240" w:lineRule="auto" w:before="0" w:after="0"/>
              <w:ind w:left="470" w:right="330" w:hanging="360"/>
              <w:jc w:val="left"/>
              <w:rPr>
                <w:sz w:val="18"/>
              </w:rPr>
            </w:pPr>
            <w:r>
              <w:rPr>
                <w:sz w:val="18"/>
              </w:rPr>
              <w:t>Land capability, including soil type</w:t>
            </w:r>
            <w:r>
              <w:rPr>
                <w:spacing w:val="-18"/>
                <w:sz w:val="18"/>
              </w:rPr>
              <w:t> </w:t>
            </w:r>
            <w:r>
              <w:rPr>
                <w:sz w:val="18"/>
              </w:rPr>
              <w:t>and topography;</w:t>
            </w:r>
          </w:p>
          <w:p>
            <w:pPr>
              <w:pStyle w:val="TableParagraph"/>
              <w:numPr>
                <w:ilvl w:val="0"/>
                <w:numId w:val="24"/>
              </w:numPr>
              <w:tabs>
                <w:tab w:pos="469" w:val="left" w:leader="none"/>
                <w:tab w:pos="470" w:val="left" w:leader="none"/>
              </w:tabs>
              <w:spacing w:line="240" w:lineRule="auto" w:before="0" w:after="0"/>
              <w:ind w:left="470" w:right="358" w:hanging="360"/>
              <w:jc w:val="left"/>
              <w:rPr>
                <w:sz w:val="18"/>
              </w:rPr>
            </w:pPr>
            <w:r>
              <w:rPr>
                <w:sz w:val="18"/>
              </w:rPr>
              <w:t>The protection of eco-cultural systems and</w:t>
            </w:r>
            <w:r>
              <w:rPr>
                <w:spacing w:val="-1"/>
                <w:sz w:val="18"/>
              </w:rPr>
              <w:t> </w:t>
            </w:r>
            <w:r>
              <w:rPr>
                <w:sz w:val="18"/>
              </w:rPr>
              <w:t>resources;and</w:t>
            </w:r>
          </w:p>
          <w:p>
            <w:pPr>
              <w:pStyle w:val="TableParagraph"/>
              <w:numPr>
                <w:ilvl w:val="0"/>
                <w:numId w:val="24"/>
              </w:numPr>
              <w:tabs>
                <w:tab w:pos="469" w:val="left" w:leader="none"/>
                <w:tab w:pos="470" w:val="left" w:leader="none"/>
              </w:tabs>
              <w:spacing w:line="206" w:lineRule="exact" w:before="3" w:after="0"/>
              <w:ind w:left="470" w:right="101" w:hanging="360"/>
              <w:jc w:val="left"/>
              <w:rPr>
                <w:sz w:val="18"/>
              </w:rPr>
            </w:pPr>
            <w:r>
              <w:rPr>
                <w:sz w:val="18"/>
              </w:rPr>
              <w:t>The capacity of a catchment to</w:t>
            </w:r>
            <w:r>
              <w:rPr>
                <w:spacing w:val="-18"/>
                <w:sz w:val="18"/>
              </w:rPr>
              <w:t> </w:t>
            </w:r>
            <w:r>
              <w:rPr>
                <w:sz w:val="18"/>
              </w:rPr>
              <w:t>assimilate land use</w:t>
            </w:r>
            <w:r>
              <w:rPr>
                <w:spacing w:val="-5"/>
                <w:sz w:val="18"/>
              </w:rPr>
              <w:t> </w:t>
            </w:r>
            <w:r>
              <w:rPr>
                <w:sz w:val="18"/>
              </w:rPr>
              <w:t>effects.</w:t>
            </w:r>
          </w:p>
        </w:tc>
        <w:tc>
          <w:tcPr>
            <w:tcW w:w="2713" w:type="dxa"/>
          </w:tcPr>
          <w:p>
            <w:pPr>
              <w:pStyle w:val="TableParagraph"/>
              <w:spacing w:before="9"/>
              <w:rPr>
                <w:b/>
                <w:i/>
                <w:sz w:val="25"/>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r>
        <w:trPr>
          <w:trHeight w:val="2937" w:hRule="atLeast"/>
        </w:trPr>
        <w:tc>
          <w:tcPr>
            <w:tcW w:w="1347" w:type="dxa"/>
          </w:tcPr>
          <w:p>
            <w:pPr>
              <w:pStyle w:val="TableParagraph"/>
              <w:spacing w:before="13"/>
              <w:ind w:left="107" w:right="249"/>
              <w:rPr>
                <w:b/>
                <w:sz w:val="18"/>
              </w:rPr>
            </w:pPr>
            <w:r>
              <w:rPr>
                <w:b/>
                <w:sz w:val="18"/>
              </w:rPr>
              <w:t>Wai Māori - Policy WM7.2</w:t>
            </w:r>
          </w:p>
        </w:tc>
        <w:tc>
          <w:tcPr>
            <w:tcW w:w="3882" w:type="dxa"/>
          </w:tcPr>
          <w:p>
            <w:pPr>
              <w:pStyle w:val="TableParagraph"/>
              <w:spacing w:before="18"/>
              <w:ind w:left="110" w:right="159"/>
              <w:rPr>
                <w:sz w:val="18"/>
              </w:rPr>
            </w:pPr>
            <w:r>
              <w:rPr>
                <w:sz w:val="18"/>
              </w:rPr>
              <w:t>To require a precautionary approach to the land use conversion and intensification in the takiwā that</w:t>
            </w:r>
          </w:p>
          <w:p>
            <w:pPr>
              <w:pStyle w:val="TableParagraph"/>
              <w:spacing w:before="20"/>
              <w:ind w:left="110"/>
              <w:rPr>
                <w:sz w:val="18"/>
              </w:rPr>
            </w:pPr>
            <w:r>
              <w:rPr>
                <w:sz w:val="18"/>
              </w:rPr>
              <w:t>recognises and provides for:</w:t>
            </w:r>
          </w:p>
          <w:p>
            <w:pPr>
              <w:pStyle w:val="TableParagraph"/>
              <w:numPr>
                <w:ilvl w:val="0"/>
                <w:numId w:val="25"/>
              </w:numPr>
              <w:tabs>
                <w:tab w:pos="469" w:val="left" w:leader="none"/>
                <w:tab w:pos="470" w:val="left" w:leader="none"/>
              </w:tabs>
              <w:spacing w:line="240" w:lineRule="auto" w:before="18" w:after="0"/>
              <w:ind w:left="470" w:right="369" w:hanging="360"/>
              <w:jc w:val="left"/>
              <w:rPr>
                <w:sz w:val="18"/>
              </w:rPr>
            </w:pPr>
            <w:r>
              <w:rPr>
                <w:sz w:val="18"/>
              </w:rPr>
              <w:t>Existing and future effects of diffuse source pollution on surface and groundwater resources from land</w:t>
            </w:r>
            <w:r>
              <w:rPr>
                <w:spacing w:val="-14"/>
                <w:sz w:val="18"/>
              </w:rPr>
              <w:t> </w:t>
            </w:r>
            <w:r>
              <w:rPr>
                <w:sz w:val="18"/>
              </w:rPr>
              <w:t>use;</w:t>
            </w:r>
          </w:p>
          <w:p>
            <w:pPr>
              <w:pStyle w:val="TableParagraph"/>
              <w:numPr>
                <w:ilvl w:val="0"/>
                <w:numId w:val="25"/>
              </w:numPr>
              <w:tabs>
                <w:tab w:pos="469" w:val="left" w:leader="none"/>
                <w:tab w:pos="470" w:val="left" w:leader="none"/>
              </w:tabs>
              <w:spacing w:line="240" w:lineRule="auto" w:before="1" w:after="0"/>
              <w:ind w:left="470" w:right="120" w:hanging="360"/>
              <w:jc w:val="left"/>
              <w:rPr>
                <w:sz w:val="18"/>
              </w:rPr>
            </w:pPr>
            <w:r>
              <w:rPr>
                <w:sz w:val="18"/>
              </w:rPr>
              <w:t>The cumulative effects of land use on</w:t>
            </w:r>
            <w:r>
              <w:rPr>
                <w:spacing w:val="-18"/>
                <w:sz w:val="18"/>
              </w:rPr>
              <w:t> </w:t>
            </w:r>
            <w:r>
              <w:rPr>
                <w:sz w:val="18"/>
              </w:rPr>
              <w:t>the health of soil and water resources;</w:t>
            </w:r>
            <w:r>
              <w:rPr>
                <w:spacing w:val="-11"/>
                <w:sz w:val="18"/>
              </w:rPr>
              <w:t> </w:t>
            </w:r>
            <w:r>
              <w:rPr>
                <w:sz w:val="18"/>
              </w:rPr>
              <w:t>and</w:t>
            </w:r>
          </w:p>
          <w:p>
            <w:pPr>
              <w:pStyle w:val="TableParagraph"/>
              <w:numPr>
                <w:ilvl w:val="0"/>
                <w:numId w:val="25"/>
              </w:numPr>
              <w:tabs>
                <w:tab w:pos="469" w:val="left" w:leader="none"/>
                <w:tab w:pos="470" w:val="left" w:leader="none"/>
              </w:tabs>
              <w:spacing w:line="240" w:lineRule="auto" w:before="2" w:after="0"/>
              <w:ind w:left="470" w:right="216" w:hanging="360"/>
              <w:jc w:val="left"/>
              <w:rPr>
                <w:sz w:val="18"/>
              </w:rPr>
            </w:pPr>
            <w:r>
              <w:rPr>
                <w:sz w:val="18"/>
              </w:rPr>
              <w:t>The cultural and environmental costs of land conversion and intensification, in addition to economic return per</w:t>
            </w:r>
            <w:r>
              <w:rPr>
                <w:spacing w:val="-12"/>
                <w:sz w:val="18"/>
              </w:rPr>
              <w:t> </w:t>
            </w:r>
            <w:r>
              <w:rPr>
                <w:sz w:val="18"/>
              </w:rPr>
              <w:t>hectare.</w:t>
            </w:r>
          </w:p>
        </w:tc>
        <w:tc>
          <w:tcPr>
            <w:tcW w:w="2713" w:type="dxa"/>
          </w:tcPr>
          <w:p>
            <w:pPr>
              <w:pStyle w:val="TableParagraph"/>
              <w:spacing w:before="9"/>
              <w:rPr>
                <w:b/>
                <w:i/>
                <w:sz w:val="25"/>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pict>
          <v:rect style="position:absolute;margin-left:301.850006pt;margin-top:40.813934pt;width:13.8pt;height:13.8pt;mso-position-horizontal-relative:page;mso-position-vertical-relative:paragraph;z-index:-38848" filled="false" stroked="true" strokeweight=".72pt" strokecolor="#000000">
            <v:stroke dashstyle="solid"/>
            <w10:wrap type="none"/>
          </v:rect>
        </w:pict>
      </w:r>
      <w:r>
        <w:rPr/>
        <w:pict>
          <v:rect style="position:absolute;margin-left:346.75pt;margin-top:40.813934pt;width:13.8pt;height:13.8pt;mso-position-horizontal-relative:page;mso-position-vertical-relative:paragraph;z-index:-38824" filled="false" stroked="true" strokeweight=".72pt" strokecolor="#000000">
            <v:stroke dashstyle="solid"/>
            <w10:wrap type="none"/>
          </v:rect>
        </w:pict>
      </w:r>
      <w:r>
        <w:rPr/>
        <w:pict>
          <v:rect style="position:absolute;margin-left:387.670013pt;margin-top:40.813934pt;width:13.8pt;height:13.8pt;mso-position-horizontal-relative:page;mso-position-vertical-relative:paragraph;z-index:-38800" filled="false" stroked="true" strokeweight=".72pt" strokecolor="#000000">
            <v:stroke dashstyle="solid"/>
            <w10:wrap type="none"/>
          </v:rect>
        </w:pict>
      </w:r>
      <w:r>
        <w:rPr/>
        <w:pict>
          <v:rect style="position:absolute;margin-left:301.850006pt;margin-top:296.569977pt;width:13.8pt;height:13.8pt;mso-position-horizontal-relative:page;mso-position-vertical-relative:page;z-index:-38776" filled="false" stroked="true" strokeweight=".72pt" strokecolor="#000000">
            <v:stroke dashstyle="solid"/>
            <w10:wrap type="none"/>
          </v:rect>
        </w:pict>
      </w:r>
      <w:r>
        <w:rPr/>
        <w:pict>
          <v:rect style="position:absolute;margin-left:346.75pt;margin-top:296.569977pt;width:13.8pt;height:13.8pt;mso-position-horizontal-relative:page;mso-position-vertical-relative:page;z-index:-38752" filled="false" stroked="true" strokeweight=".72pt" strokecolor="#000000">
            <v:stroke dashstyle="solid"/>
            <w10:wrap type="none"/>
          </v:rect>
        </w:pict>
      </w:r>
      <w:r>
        <w:rPr/>
        <w:pict>
          <v:rect style="position:absolute;margin-left:387.670013pt;margin-top:296.569977pt;width:13.8pt;height:13.8pt;mso-position-horizontal-relative:page;mso-position-vertical-relative:page;z-index:-38728" filled="false" stroked="true" strokeweight=".72pt" strokecolor="#000000">
            <v:stroke dashstyle="solid"/>
            <w10:wrap type="none"/>
          </v:rect>
        </w:pict>
      </w:r>
      <w:r>
        <w:rPr/>
        <w:pict>
          <v:rect style="position:absolute;margin-left:301.850006pt;margin-top:424.009979pt;width:13.8pt;height:13.8pt;mso-position-horizontal-relative:page;mso-position-vertical-relative:page;z-index:-38704" filled="false" stroked="true" strokeweight=".72pt" strokecolor="#000000">
            <v:stroke dashstyle="solid"/>
            <w10:wrap type="none"/>
          </v:rect>
        </w:pict>
      </w:r>
      <w:r>
        <w:rPr/>
        <w:pict>
          <v:rect style="position:absolute;margin-left:346.75pt;margin-top:424.009979pt;width:13.8pt;height:13.8pt;mso-position-horizontal-relative:page;mso-position-vertical-relative:page;z-index:-38680" filled="false" stroked="true" strokeweight=".72pt" strokecolor="#000000">
            <v:stroke dashstyle="solid"/>
            <w10:wrap type="none"/>
          </v:rect>
        </w:pict>
      </w:r>
      <w:r>
        <w:rPr/>
        <w:pict>
          <v:rect style="position:absolute;margin-left:387.670013pt;margin-top:424.009979pt;width:13.8pt;height:13.8pt;mso-position-horizontal-relative:page;mso-position-vertical-relative:page;z-index:-38656" filled="false" stroked="true" strokeweight=".72pt" strokecolor="#000000">
            <v:stroke dashstyle="solid"/>
            <w10:wrap type="none"/>
          </v:rect>
        </w:pict>
      </w:r>
      <w:r>
        <w:rPr/>
        <w:pict>
          <v:rect style="position:absolute;margin-left:301.850006pt;margin-top:567.789978pt;width:13.8pt;height:13.8pt;mso-position-horizontal-relative:page;mso-position-vertical-relative:page;z-index:-38632" filled="false" stroked="true" strokeweight=".72pt" strokecolor="#000000">
            <v:stroke dashstyle="solid"/>
            <w10:wrap type="none"/>
          </v:rect>
        </w:pict>
      </w:r>
      <w:r>
        <w:rPr/>
        <w:pict>
          <v:rect style="position:absolute;margin-left:346.75pt;margin-top:567.789978pt;width:13.8pt;height:13.8pt;mso-position-horizontal-relative:page;mso-position-vertical-relative:page;z-index:-38608" filled="false" stroked="true" strokeweight=".72pt" strokecolor="#000000">
            <v:stroke dashstyle="solid"/>
            <w10:wrap type="none"/>
          </v:rect>
        </w:pict>
      </w:r>
      <w:r>
        <w:rPr/>
        <w:pict>
          <v:rect style="position:absolute;margin-left:387.670013pt;margin-top:567.789978pt;width:13.8pt;height:13.8pt;mso-position-horizontal-relative:page;mso-position-vertical-relative:page;z-index:-38584" filled="false" stroked="true" strokeweight=".72pt" strokecolor="#000000">
            <v:stroke dashstyle="solid"/>
            <w10:wrap type="none"/>
          </v:rect>
        </w:pict>
      </w:r>
      <w:r>
        <w:rPr/>
        <w:t>APPLICATION TO USE LAND FOR FARMING ACTIVITY IN</w:t>
      </w:r>
      <w:r>
        <w:rPr>
          <w:spacing w:val="-18"/>
        </w:rPr>
        <w:t> </w:t>
      </w:r>
      <w:r>
        <w:rPr/>
        <w:t>ORANGE ZONE</w:t>
        <w:tab/>
        <w:t>PAGE 14</w:t>
      </w:r>
      <w:r>
        <w:rPr>
          <w:spacing w:val="-2"/>
        </w:rPr>
        <w:t> </w:t>
      </w:r>
      <w:r>
        <w:rPr/>
        <w:t>OF</w:t>
      </w:r>
      <w:r>
        <w:rPr>
          <w:spacing w:val="-2"/>
        </w:rPr>
        <w:t> </w:t>
      </w:r>
      <w:r>
        <w:rPr/>
        <w:t>15</w:t>
        <w:tab/>
        <w:t>March 2016</w:t>
      </w:r>
    </w:p>
    <w:p>
      <w:pPr>
        <w:pStyle w:val="BodyText"/>
        <w:spacing w:before="8"/>
        <w:rPr>
          <w:sz w:val="26"/>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3882"/>
        <w:gridCol w:w="2713"/>
        <w:gridCol w:w="2977"/>
      </w:tblGrid>
      <w:tr>
        <w:trPr>
          <w:trHeight w:val="4294" w:hRule="atLeast"/>
        </w:trPr>
        <w:tc>
          <w:tcPr>
            <w:tcW w:w="1347" w:type="dxa"/>
          </w:tcPr>
          <w:p>
            <w:pPr>
              <w:pStyle w:val="TableParagraph"/>
              <w:spacing w:before="117"/>
              <w:ind w:left="107" w:right="249"/>
              <w:rPr>
                <w:b/>
                <w:sz w:val="18"/>
              </w:rPr>
            </w:pPr>
            <w:r>
              <w:rPr>
                <w:b/>
                <w:sz w:val="18"/>
              </w:rPr>
              <w:t>Wai Māori - Policy .10</w:t>
            </w:r>
          </w:p>
        </w:tc>
        <w:tc>
          <w:tcPr>
            <w:tcW w:w="3882" w:type="dxa"/>
          </w:tcPr>
          <w:p>
            <w:pPr>
              <w:pStyle w:val="TableParagraph"/>
              <w:spacing w:before="121"/>
              <w:ind w:left="110" w:right="89"/>
              <w:rPr>
                <w:sz w:val="18"/>
              </w:rPr>
            </w:pPr>
            <w:r>
              <w:rPr>
                <w:color w:val="202024"/>
                <w:sz w:val="18"/>
              </w:rPr>
              <w:t>To promote on-farm measures that maximise water use efficiencies and reduce nutrient loss, and that enable landowners undertaking intensive rural</w:t>
            </w:r>
          </w:p>
          <w:p>
            <w:pPr>
              <w:pStyle w:val="TableParagraph"/>
              <w:spacing w:before="121"/>
              <w:ind w:left="110" w:right="420"/>
              <w:rPr>
                <w:sz w:val="18"/>
              </w:rPr>
            </w:pPr>
            <w:r>
              <w:rPr>
                <w:color w:val="202024"/>
                <w:sz w:val="18"/>
              </w:rPr>
              <w:t>farming activities to be responsible for the cultural and environmental costs of their activities, including but not limited to:</w:t>
            </w:r>
          </w:p>
          <w:p>
            <w:pPr>
              <w:pStyle w:val="TableParagraph"/>
              <w:numPr>
                <w:ilvl w:val="0"/>
                <w:numId w:val="26"/>
              </w:numPr>
              <w:tabs>
                <w:tab w:pos="469" w:val="left" w:leader="none"/>
                <w:tab w:pos="470" w:val="left" w:leader="none"/>
              </w:tabs>
              <w:spacing w:line="207" w:lineRule="exact" w:before="118" w:after="0"/>
              <w:ind w:left="470" w:right="0" w:hanging="360"/>
              <w:jc w:val="left"/>
              <w:rPr>
                <w:color w:val="202024"/>
                <w:sz w:val="18"/>
              </w:rPr>
            </w:pPr>
            <w:r>
              <w:rPr>
                <w:color w:val="202024"/>
                <w:sz w:val="18"/>
              </w:rPr>
              <w:t>The treatment of effluent before</w:t>
            </w:r>
            <w:r>
              <w:rPr>
                <w:color w:val="202024"/>
                <w:spacing w:val="-12"/>
                <w:sz w:val="18"/>
              </w:rPr>
              <w:t> </w:t>
            </w:r>
            <w:r>
              <w:rPr>
                <w:color w:val="202024"/>
                <w:sz w:val="18"/>
              </w:rPr>
              <w:t>disposal;</w:t>
            </w:r>
          </w:p>
          <w:p>
            <w:pPr>
              <w:pStyle w:val="TableParagraph"/>
              <w:numPr>
                <w:ilvl w:val="0"/>
                <w:numId w:val="26"/>
              </w:numPr>
              <w:tabs>
                <w:tab w:pos="469" w:val="left" w:leader="none"/>
                <w:tab w:pos="470" w:val="left" w:leader="none"/>
              </w:tabs>
              <w:spacing w:line="207" w:lineRule="exact" w:before="0" w:after="0"/>
              <w:ind w:left="470" w:right="0" w:hanging="360"/>
              <w:jc w:val="left"/>
              <w:rPr>
                <w:color w:val="202024"/>
                <w:sz w:val="18"/>
              </w:rPr>
            </w:pPr>
            <w:r>
              <w:rPr>
                <w:color w:val="202024"/>
                <w:sz w:val="18"/>
              </w:rPr>
              <w:t>On-farm nutrient</w:t>
            </w:r>
            <w:r>
              <w:rPr>
                <w:color w:val="202024"/>
                <w:spacing w:val="-2"/>
                <w:sz w:val="18"/>
              </w:rPr>
              <w:t> </w:t>
            </w:r>
            <w:r>
              <w:rPr>
                <w:color w:val="202024"/>
                <w:sz w:val="18"/>
              </w:rPr>
              <w:t>management;</w:t>
            </w:r>
          </w:p>
          <w:p>
            <w:pPr>
              <w:pStyle w:val="TableParagraph"/>
              <w:numPr>
                <w:ilvl w:val="0"/>
                <w:numId w:val="26"/>
              </w:numPr>
              <w:tabs>
                <w:tab w:pos="469" w:val="left" w:leader="none"/>
                <w:tab w:pos="470" w:val="left" w:leader="none"/>
              </w:tabs>
              <w:spacing w:line="240" w:lineRule="auto" w:before="2" w:after="0"/>
              <w:ind w:left="470" w:right="111" w:hanging="360"/>
              <w:jc w:val="left"/>
              <w:rPr>
                <w:color w:val="202024"/>
                <w:sz w:val="18"/>
              </w:rPr>
            </w:pPr>
            <w:r>
              <w:rPr>
                <w:color w:val="202024"/>
                <w:sz w:val="18"/>
              </w:rPr>
              <w:t>Appropriate stocking rates, that avoid</w:t>
            </w:r>
            <w:r>
              <w:rPr>
                <w:color w:val="202024"/>
                <w:spacing w:val="-18"/>
                <w:sz w:val="18"/>
              </w:rPr>
              <w:t> </w:t>
            </w:r>
            <w:r>
              <w:rPr>
                <w:color w:val="202024"/>
                <w:sz w:val="18"/>
              </w:rPr>
              <w:t>soil loss and nutrient</w:t>
            </w:r>
            <w:r>
              <w:rPr>
                <w:color w:val="202024"/>
                <w:spacing w:val="-1"/>
                <w:sz w:val="18"/>
              </w:rPr>
              <w:t> </w:t>
            </w:r>
            <w:r>
              <w:rPr>
                <w:color w:val="202024"/>
                <w:sz w:val="18"/>
              </w:rPr>
              <w:t>leaching;</w:t>
            </w:r>
          </w:p>
          <w:p>
            <w:pPr>
              <w:pStyle w:val="TableParagraph"/>
              <w:numPr>
                <w:ilvl w:val="0"/>
                <w:numId w:val="26"/>
              </w:numPr>
              <w:tabs>
                <w:tab w:pos="469" w:val="left" w:leader="none"/>
                <w:tab w:pos="470" w:val="left" w:leader="none"/>
              </w:tabs>
              <w:spacing w:line="240" w:lineRule="auto" w:before="0" w:after="0"/>
              <w:ind w:left="470" w:right="319" w:hanging="360"/>
              <w:jc w:val="left"/>
              <w:rPr>
                <w:color w:val="202024"/>
                <w:sz w:val="18"/>
              </w:rPr>
            </w:pPr>
            <w:r>
              <w:rPr>
                <w:color w:val="202024"/>
                <w:sz w:val="18"/>
              </w:rPr>
              <w:t>Soil and foliage testing to optimise</w:t>
            </w:r>
            <w:r>
              <w:rPr>
                <w:color w:val="202024"/>
                <w:spacing w:val="-18"/>
                <w:sz w:val="18"/>
              </w:rPr>
              <w:t> </w:t>
            </w:r>
            <w:r>
              <w:rPr>
                <w:color w:val="202024"/>
                <w:sz w:val="18"/>
              </w:rPr>
              <w:t>and minimise fertiliser</w:t>
            </w:r>
            <w:r>
              <w:rPr>
                <w:color w:val="202024"/>
                <w:spacing w:val="-1"/>
                <w:sz w:val="18"/>
              </w:rPr>
              <w:t> </w:t>
            </w:r>
            <w:r>
              <w:rPr>
                <w:color w:val="202024"/>
                <w:sz w:val="18"/>
              </w:rPr>
              <w:t>use;</w:t>
            </w:r>
          </w:p>
          <w:p>
            <w:pPr>
              <w:pStyle w:val="TableParagraph"/>
              <w:numPr>
                <w:ilvl w:val="0"/>
                <w:numId w:val="26"/>
              </w:numPr>
              <w:tabs>
                <w:tab w:pos="469" w:val="left" w:leader="none"/>
                <w:tab w:pos="470" w:val="left" w:leader="none"/>
              </w:tabs>
              <w:spacing w:line="207" w:lineRule="exact" w:before="0" w:after="0"/>
              <w:ind w:left="470" w:right="0" w:hanging="360"/>
              <w:jc w:val="left"/>
              <w:rPr>
                <w:color w:val="202024"/>
                <w:sz w:val="18"/>
              </w:rPr>
            </w:pPr>
            <w:r>
              <w:rPr>
                <w:color w:val="202024"/>
                <w:sz w:val="18"/>
              </w:rPr>
              <w:t>Best practice irrigation</w:t>
            </w:r>
            <w:r>
              <w:rPr>
                <w:color w:val="202024"/>
                <w:spacing w:val="44"/>
                <w:sz w:val="18"/>
              </w:rPr>
              <w:t> </w:t>
            </w:r>
            <w:r>
              <w:rPr>
                <w:color w:val="202024"/>
                <w:sz w:val="18"/>
              </w:rPr>
              <w:t>management;</w:t>
            </w:r>
          </w:p>
          <w:p>
            <w:pPr>
              <w:pStyle w:val="TableParagraph"/>
              <w:numPr>
                <w:ilvl w:val="0"/>
                <w:numId w:val="26"/>
              </w:numPr>
              <w:tabs>
                <w:tab w:pos="469" w:val="left" w:leader="none"/>
                <w:tab w:pos="470" w:val="left" w:leader="none"/>
              </w:tabs>
              <w:spacing w:line="240" w:lineRule="auto" w:before="0" w:after="0"/>
              <w:ind w:left="470" w:right="921" w:hanging="360"/>
              <w:jc w:val="left"/>
              <w:rPr>
                <w:color w:val="202024"/>
                <w:sz w:val="18"/>
              </w:rPr>
            </w:pPr>
            <w:r>
              <w:rPr>
                <w:color w:val="202024"/>
                <w:sz w:val="18"/>
              </w:rPr>
              <w:t>The protection, construction or restoration of environmental infrastructure such as</w:t>
            </w:r>
            <w:r>
              <w:rPr>
                <w:color w:val="202024"/>
                <w:spacing w:val="-11"/>
                <w:sz w:val="18"/>
              </w:rPr>
              <w:t> </w:t>
            </w:r>
            <w:r>
              <w:rPr>
                <w:color w:val="202024"/>
                <w:sz w:val="18"/>
              </w:rPr>
              <w:t>wetlands</w:t>
            </w:r>
          </w:p>
          <w:p>
            <w:pPr>
              <w:pStyle w:val="TableParagraph"/>
              <w:numPr>
                <w:ilvl w:val="0"/>
                <w:numId w:val="26"/>
              </w:numPr>
              <w:tabs>
                <w:tab w:pos="469" w:val="left" w:leader="none"/>
                <w:tab w:pos="470" w:val="left" w:leader="none"/>
              </w:tabs>
              <w:spacing w:line="207" w:lineRule="exact" w:before="1" w:after="0"/>
              <w:ind w:left="470" w:right="0" w:hanging="360"/>
              <w:jc w:val="left"/>
              <w:rPr>
                <w:color w:val="202024"/>
                <w:sz w:val="18"/>
              </w:rPr>
            </w:pPr>
            <w:r>
              <w:rPr>
                <w:color w:val="202024"/>
                <w:sz w:val="18"/>
              </w:rPr>
              <w:t>and riparian margins;</w:t>
            </w:r>
            <w:r>
              <w:rPr>
                <w:color w:val="202024"/>
                <w:spacing w:val="-5"/>
                <w:sz w:val="18"/>
              </w:rPr>
              <w:t> </w:t>
            </w:r>
            <w:r>
              <w:rPr>
                <w:color w:val="202024"/>
                <w:sz w:val="18"/>
              </w:rPr>
              <w:t>and</w:t>
            </w:r>
          </w:p>
          <w:p>
            <w:pPr>
              <w:pStyle w:val="TableParagraph"/>
              <w:numPr>
                <w:ilvl w:val="0"/>
                <w:numId w:val="26"/>
              </w:numPr>
              <w:tabs>
                <w:tab w:pos="469" w:val="left" w:leader="none"/>
                <w:tab w:pos="470" w:val="left" w:leader="none"/>
              </w:tabs>
              <w:spacing w:line="187" w:lineRule="exact" w:before="0" w:after="0"/>
              <w:ind w:left="470" w:right="0" w:hanging="360"/>
              <w:jc w:val="left"/>
              <w:rPr>
                <w:sz w:val="18"/>
              </w:rPr>
            </w:pPr>
            <w:r>
              <w:rPr>
                <w:color w:val="202024"/>
                <w:sz w:val="18"/>
              </w:rPr>
              <w:t>Fencing off surface</w:t>
            </w:r>
            <w:r>
              <w:rPr>
                <w:color w:val="202024"/>
                <w:spacing w:val="-6"/>
                <w:sz w:val="18"/>
              </w:rPr>
              <w:t> </w:t>
            </w:r>
            <w:r>
              <w:rPr>
                <w:color w:val="202024"/>
                <w:sz w:val="18"/>
              </w:rPr>
              <w:t>waterways.</w:t>
            </w:r>
          </w:p>
        </w:tc>
        <w:tc>
          <w:tcPr>
            <w:tcW w:w="2713" w:type="dxa"/>
          </w:tcPr>
          <w:p>
            <w:pPr>
              <w:pStyle w:val="TableParagraph"/>
              <w:rPr>
                <w:sz w:val="26"/>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r>
        <w:trPr>
          <w:trHeight w:val="2449" w:hRule="atLeast"/>
        </w:trPr>
        <w:tc>
          <w:tcPr>
            <w:tcW w:w="1347" w:type="dxa"/>
          </w:tcPr>
          <w:p>
            <w:pPr>
              <w:pStyle w:val="TableParagraph"/>
              <w:spacing w:before="114"/>
              <w:ind w:left="107"/>
              <w:rPr>
                <w:b/>
                <w:sz w:val="18"/>
              </w:rPr>
            </w:pPr>
            <w:r>
              <w:rPr>
                <w:b/>
                <w:sz w:val="18"/>
              </w:rPr>
              <w:t>Papatūanuku</w:t>
            </w:r>
          </w:p>
          <w:p>
            <w:pPr>
              <w:pStyle w:val="TableParagraph"/>
              <w:spacing w:before="2"/>
              <w:ind w:left="107"/>
              <w:rPr>
                <w:b/>
                <w:sz w:val="18"/>
              </w:rPr>
            </w:pPr>
            <w:r>
              <w:rPr>
                <w:b/>
                <w:sz w:val="18"/>
              </w:rPr>
              <w:t>- Policy P2.1</w:t>
            </w:r>
          </w:p>
        </w:tc>
        <w:tc>
          <w:tcPr>
            <w:tcW w:w="3882" w:type="dxa"/>
          </w:tcPr>
          <w:p>
            <w:pPr>
              <w:pStyle w:val="TableParagraph"/>
              <w:spacing w:before="119"/>
              <w:ind w:left="110" w:right="270"/>
              <w:rPr>
                <w:sz w:val="18"/>
              </w:rPr>
            </w:pPr>
            <w:r>
              <w:rPr>
                <w:sz w:val="18"/>
              </w:rPr>
              <w:t>Rural land use must prioritise the protection of resources and environmental health for future generations. Economic gain must not have priority over the maintenance of the mauri of Papatūānuku, the provider of all things of nature and the world.</w:t>
            </w:r>
          </w:p>
        </w:tc>
        <w:tc>
          <w:tcPr>
            <w:tcW w:w="2713" w:type="dxa"/>
          </w:tcPr>
          <w:p>
            <w:pPr>
              <w:pStyle w:val="TableParagraph"/>
              <w:spacing w:before="3"/>
              <w:rPr>
                <w:sz w:val="18"/>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r>
        <w:trPr>
          <w:trHeight w:val="2954" w:hRule="atLeast"/>
        </w:trPr>
        <w:tc>
          <w:tcPr>
            <w:tcW w:w="1347" w:type="dxa"/>
          </w:tcPr>
          <w:p>
            <w:pPr>
              <w:pStyle w:val="TableParagraph"/>
              <w:spacing w:before="114"/>
              <w:ind w:left="107"/>
              <w:rPr>
                <w:b/>
                <w:sz w:val="18"/>
              </w:rPr>
            </w:pPr>
            <w:r>
              <w:rPr>
                <w:b/>
                <w:sz w:val="18"/>
              </w:rPr>
              <w:t>Papatūanuku</w:t>
            </w:r>
          </w:p>
          <w:p>
            <w:pPr>
              <w:pStyle w:val="TableParagraph"/>
              <w:spacing w:before="2"/>
              <w:ind w:left="107"/>
              <w:rPr>
                <w:b/>
                <w:sz w:val="18"/>
              </w:rPr>
            </w:pPr>
            <w:r>
              <w:rPr>
                <w:b/>
                <w:sz w:val="18"/>
              </w:rPr>
              <w:t>- Policy P9.3</w:t>
            </w:r>
          </w:p>
        </w:tc>
        <w:tc>
          <w:tcPr>
            <w:tcW w:w="3882" w:type="dxa"/>
          </w:tcPr>
          <w:p>
            <w:pPr>
              <w:pStyle w:val="TableParagraph"/>
              <w:spacing w:before="119"/>
              <w:ind w:left="110" w:right="190"/>
              <w:rPr>
                <w:sz w:val="18"/>
              </w:rPr>
            </w:pPr>
            <w:r>
              <w:rPr>
                <w:sz w:val="18"/>
              </w:rPr>
              <w:t>To protect the land from induced soil erosion as a result of unsustainable land use and development.</w:t>
            </w:r>
          </w:p>
        </w:tc>
        <w:tc>
          <w:tcPr>
            <w:tcW w:w="2713" w:type="dxa"/>
          </w:tcPr>
          <w:p>
            <w:pPr>
              <w:pStyle w:val="TableParagraph"/>
              <w:spacing w:before="11"/>
              <w:rPr>
                <w:sz w:val="25"/>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r>
        <w:trPr>
          <w:trHeight w:val="3393" w:hRule="atLeast"/>
        </w:trPr>
        <w:tc>
          <w:tcPr>
            <w:tcW w:w="1347" w:type="dxa"/>
          </w:tcPr>
          <w:p>
            <w:pPr>
              <w:pStyle w:val="TableParagraph"/>
              <w:spacing w:before="114"/>
              <w:ind w:left="107" w:right="93"/>
              <w:rPr>
                <w:b/>
                <w:sz w:val="18"/>
              </w:rPr>
            </w:pPr>
            <w:r>
              <w:rPr>
                <w:b/>
                <w:sz w:val="18"/>
              </w:rPr>
              <w:t>Waimakariri </w:t>
            </w:r>
            <w:r>
              <w:rPr>
                <w:b/>
                <w:spacing w:val="-14"/>
                <w:sz w:val="18"/>
              </w:rPr>
              <w:t>- </w:t>
            </w:r>
            <w:r>
              <w:rPr>
                <w:b/>
                <w:sz w:val="18"/>
              </w:rPr>
              <w:t>Policy WAI3.3</w:t>
            </w:r>
          </w:p>
        </w:tc>
        <w:tc>
          <w:tcPr>
            <w:tcW w:w="3882" w:type="dxa"/>
          </w:tcPr>
          <w:p>
            <w:pPr>
              <w:pStyle w:val="TableParagraph"/>
              <w:spacing w:before="119"/>
              <w:ind w:left="110" w:right="239"/>
              <w:rPr>
                <w:sz w:val="18"/>
              </w:rPr>
            </w:pPr>
            <w:r>
              <w:rPr>
                <w:sz w:val="18"/>
              </w:rPr>
              <w:t>To protect groundwater resources in the Waimakariri catchment from effects as a result of inappropriate or unsustainable land use and discharge to land activities.</w:t>
            </w:r>
          </w:p>
          <w:p>
            <w:pPr>
              <w:pStyle w:val="TableParagraph"/>
              <w:spacing w:before="120"/>
              <w:ind w:left="110" w:right="950"/>
              <w:rPr>
                <w:sz w:val="18"/>
              </w:rPr>
            </w:pPr>
            <w:r>
              <w:rPr>
                <w:sz w:val="18"/>
              </w:rPr>
              <w:t>(Only applicable to the Waimakariri catchment)</w:t>
            </w:r>
          </w:p>
        </w:tc>
        <w:tc>
          <w:tcPr>
            <w:tcW w:w="2713" w:type="dxa"/>
          </w:tcPr>
          <w:p>
            <w:pPr>
              <w:pStyle w:val="TableParagraph"/>
              <w:spacing w:before="3"/>
              <w:rPr>
                <w:sz w:val="18"/>
              </w:rPr>
            </w:pPr>
          </w:p>
          <w:p>
            <w:pPr>
              <w:pStyle w:val="TableParagraph"/>
              <w:tabs>
                <w:tab w:pos="897" w:val="left" w:leader="none"/>
                <w:tab w:pos="1728" w:val="left" w:leader="none"/>
              </w:tabs>
              <w:ind w:right="176"/>
              <w:jc w:val="right"/>
              <w:rPr>
                <w:sz w:val="18"/>
              </w:rPr>
            </w:pPr>
            <w:r>
              <w:rPr>
                <w:sz w:val="18"/>
              </w:rPr>
              <w:t>Yes</w:t>
              <w:tab/>
              <w:t>No</w:t>
              <w:tab/>
              <w:t>N/A</w:t>
            </w:r>
          </w:p>
        </w:tc>
        <w:tc>
          <w:tcPr>
            <w:tcW w:w="2977" w:type="dxa"/>
          </w:tcPr>
          <w:p>
            <w:pPr>
              <w:pStyle w:val="TableParagraph"/>
              <w:rPr>
                <w:rFonts w:ascii="Times New Roman"/>
                <w:sz w:val="18"/>
              </w:rPr>
            </w:pPr>
          </w:p>
        </w:tc>
      </w:tr>
    </w:tbl>
    <w:p>
      <w:pPr>
        <w:spacing w:after="0"/>
        <w:rPr>
          <w:rFonts w:ascii="Times New Roman"/>
          <w:sz w:val="18"/>
        </w:rPr>
        <w:sectPr>
          <w:pgSz w:w="11910" w:h="16850"/>
          <w:pgMar w:header="0" w:footer="962" w:top="880" w:bottom="1380" w:left="140" w:right="200"/>
        </w:sectPr>
      </w:pPr>
    </w:p>
    <w:p>
      <w:pPr>
        <w:pStyle w:val="BodyText"/>
        <w:tabs>
          <w:tab w:pos="6670" w:val="left" w:leader="none"/>
          <w:tab w:pos="10203" w:val="left" w:leader="none"/>
        </w:tabs>
        <w:spacing w:before="85"/>
        <w:ind w:left="426"/>
      </w:pPr>
      <w:r>
        <w:rPr/>
        <w:t>APPLICATION TO USE LAND FOR FARMING ACTIVITY IN</w:t>
      </w:r>
      <w:r>
        <w:rPr>
          <w:spacing w:val="-18"/>
        </w:rPr>
        <w:t> </w:t>
      </w:r>
      <w:r>
        <w:rPr/>
        <w:t>ORANGE ZONE</w:t>
        <w:tab/>
        <w:t>PAGE 15</w:t>
      </w:r>
      <w:r>
        <w:rPr>
          <w:spacing w:val="-2"/>
        </w:rPr>
        <w:t> </w:t>
      </w:r>
      <w:r>
        <w:rPr/>
        <w:t>OF</w:t>
      </w:r>
      <w:r>
        <w:rPr>
          <w:spacing w:val="-2"/>
        </w:rPr>
        <w:t> </w:t>
      </w:r>
      <w:r>
        <w:rPr/>
        <w:t>15</w:t>
        <w:tab/>
        <w:t>March 2016</w:t>
      </w:r>
    </w:p>
    <w:p>
      <w:pPr>
        <w:pStyle w:val="BodyText"/>
        <w:rPr>
          <w:sz w:val="20"/>
        </w:rPr>
      </w:pPr>
    </w:p>
    <w:p>
      <w:pPr>
        <w:pStyle w:val="BodyText"/>
        <w:rPr>
          <w:sz w:val="20"/>
        </w:rPr>
      </w:pPr>
    </w:p>
    <w:p>
      <w:pPr>
        <w:pStyle w:val="BodyText"/>
        <w:spacing w:before="3"/>
        <w:rPr>
          <w:sz w:val="17"/>
        </w:rPr>
      </w:pPr>
    </w:p>
    <w:p>
      <w:pPr>
        <w:pStyle w:val="ListParagraph"/>
        <w:numPr>
          <w:ilvl w:val="1"/>
          <w:numId w:val="20"/>
        </w:numPr>
        <w:tabs>
          <w:tab w:pos="1002" w:val="left" w:leader="none"/>
          <w:tab w:pos="1003" w:val="left" w:leader="none"/>
        </w:tabs>
        <w:spacing w:line="240" w:lineRule="auto" w:before="93" w:after="0"/>
        <w:ind w:left="1002" w:right="2227" w:hanging="576"/>
        <w:jc w:val="left"/>
        <w:rPr>
          <w:sz w:val="18"/>
        </w:rPr>
      </w:pPr>
      <w:r>
        <w:rPr/>
        <w:pict>
          <v:rect style="position:absolute;margin-left:295.730011pt;margin-top:85.309853pt;width:13.8pt;height:13.8pt;mso-position-horizontal-relative:page;mso-position-vertical-relative:paragraph;z-index:-38560" filled="false" stroked="true" strokeweight=".72pt" strokecolor="#000000">
            <v:stroke dashstyle="solid"/>
            <w10:wrap type="none"/>
          </v:rect>
        </w:pict>
      </w:r>
      <w:r>
        <w:rPr/>
        <w:pict>
          <v:rect style="position:absolute;margin-left:340.630005pt;margin-top:85.309853pt;width:13.8pt;height:13.8pt;mso-position-horizontal-relative:page;mso-position-vertical-relative:paragraph;z-index:-38536" filled="false" stroked="true" strokeweight=".72pt" strokecolor="#000000">
            <v:stroke dashstyle="solid"/>
            <w10:wrap type="none"/>
          </v:rect>
        </w:pict>
      </w:r>
      <w:r>
        <w:rPr/>
        <w:pict>
          <v:rect style="position:absolute;margin-left:381.549988pt;margin-top:85.309853pt;width:13.8pt;height:13.8pt;mso-position-horizontal-relative:page;mso-position-vertical-relative:paragraph;z-index:-38512" filled="false" stroked="true" strokeweight=".72pt" strokecolor="#000000">
            <v:stroke dashstyle="solid"/>
            <w10:wrap type="none"/>
          </v:rect>
        </w:pict>
      </w:r>
      <w:r>
        <w:rPr>
          <w:b/>
          <w:sz w:val="20"/>
        </w:rPr>
        <w:t>IMP: IWI MANAGEMENT PLAN OF KATI HUIRAPA FOR THE AREA RAKAIA TO</w:t>
      </w:r>
      <w:r>
        <w:rPr>
          <w:b/>
          <w:spacing w:val="-29"/>
          <w:sz w:val="20"/>
        </w:rPr>
        <w:t> </w:t>
      </w:r>
      <w:r>
        <w:rPr>
          <w:b/>
          <w:sz w:val="20"/>
        </w:rPr>
        <w:t>WAITAKI (TAKIWĀ OF BOTH AROWHENUA &amp; WAIHAO RŪNANGA) (</w:t>
      </w:r>
      <w:r>
        <w:rPr>
          <w:sz w:val="18"/>
        </w:rPr>
        <w:t>Area: Rakaia to Waitaki</w:t>
      </w:r>
      <w:r>
        <w:rPr>
          <w:spacing w:val="-21"/>
          <w:sz w:val="18"/>
        </w:rPr>
        <w:t> </w:t>
      </w:r>
      <w:r>
        <w:rPr>
          <w:sz w:val="18"/>
        </w:rPr>
        <w:t>Rivers)</w:t>
      </w:r>
    </w:p>
    <w:p>
      <w:pPr>
        <w:pStyle w:val="BodyText"/>
        <w:rPr>
          <w:sz w:val="20"/>
        </w:rPr>
      </w:pPr>
    </w:p>
    <w:p>
      <w:pPr>
        <w:pStyle w:val="BodyText"/>
        <w:spacing w:before="3" w:after="1"/>
        <w:rPr>
          <w:sz w:val="19"/>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2552"/>
        <w:gridCol w:w="2696"/>
        <w:gridCol w:w="3119"/>
      </w:tblGrid>
      <w:tr>
        <w:trPr>
          <w:trHeight w:val="453" w:hRule="atLeast"/>
        </w:trPr>
        <w:tc>
          <w:tcPr>
            <w:tcW w:w="5104" w:type="dxa"/>
            <w:gridSpan w:val="2"/>
          </w:tcPr>
          <w:p>
            <w:pPr>
              <w:pStyle w:val="TableParagraph"/>
              <w:spacing w:before="116"/>
              <w:ind w:left="107"/>
              <w:rPr>
                <w:b/>
                <w:sz w:val="18"/>
              </w:rPr>
            </w:pPr>
            <w:r>
              <w:rPr>
                <w:b/>
                <w:sz w:val="18"/>
              </w:rPr>
              <w:t>Kaupapa</w:t>
            </w:r>
          </w:p>
        </w:tc>
        <w:tc>
          <w:tcPr>
            <w:tcW w:w="2696" w:type="dxa"/>
          </w:tcPr>
          <w:p>
            <w:pPr>
              <w:pStyle w:val="TableParagraph"/>
              <w:spacing w:before="13"/>
              <w:ind w:left="109" w:right="216"/>
              <w:rPr>
                <w:b/>
                <w:sz w:val="18"/>
              </w:rPr>
            </w:pPr>
            <w:r>
              <w:rPr>
                <w:b/>
                <w:sz w:val="18"/>
              </w:rPr>
              <w:t>Will your proposal assist in achieving this?</w:t>
            </w:r>
          </w:p>
        </w:tc>
        <w:tc>
          <w:tcPr>
            <w:tcW w:w="3119" w:type="dxa"/>
          </w:tcPr>
          <w:p>
            <w:pPr>
              <w:pStyle w:val="TableParagraph"/>
              <w:spacing w:before="13"/>
              <w:ind w:left="106"/>
              <w:rPr>
                <w:b/>
                <w:sz w:val="18"/>
              </w:rPr>
            </w:pPr>
            <w:r>
              <w:rPr>
                <w:b/>
                <w:sz w:val="18"/>
              </w:rPr>
              <w:t>Explanation where relevant</w:t>
            </w:r>
          </w:p>
        </w:tc>
      </w:tr>
      <w:tr>
        <w:trPr>
          <w:trHeight w:val="2529" w:hRule="atLeast"/>
        </w:trPr>
        <w:tc>
          <w:tcPr>
            <w:tcW w:w="2552" w:type="dxa"/>
          </w:tcPr>
          <w:p>
            <w:pPr>
              <w:pStyle w:val="TableParagraph"/>
              <w:spacing w:before="114"/>
              <w:ind w:left="107" w:right="434"/>
              <w:rPr>
                <w:b/>
                <w:sz w:val="18"/>
              </w:rPr>
            </w:pPr>
            <w:r>
              <w:rPr>
                <w:b/>
                <w:sz w:val="18"/>
              </w:rPr>
              <w:t>Part One – Land, Water and Air Policies</w:t>
            </w:r>
          </w:p>
        </w:tc>
        <w:tc>
          <w:tcPr>
            <w:tcW w:w="2552" w:type="dxa"/>
          </w:tcPr>
          <w:p>
            <w:pPr>
              <w:pStyle w:val="TableParagraph"/>
              <w:spacing w:before="119"/>
              <w:ind w:left="109" w:right="231"/>
              <w:rPr>
                <w:sz w:val="18"/>
              </w:rPr>
            </w:pPr>
            <w:r>
              <w:rPr>
                <w:sz w:val="18"/>
              </w:rPr>
              <w:t>All waters to be the highest classified standard of water quality, with no waste discharges.</w:t>
            </w:r>
          </w:p>
        </w:tc>
        <w:tc>
          <w:tcPr>
            <w:tcW w:w="2696" w:type="dxa"/>
          </w:tcPr>
          <w:p>
            <w:pPr>
              <w:pStyle w:val="TableParagraph"/>
              <w:spacing w:before="9"/>
              <w:rPr>
                <w:sz w:val="25"/>
              </w:rPr>
            </w:pPr>
          </w:p>
          <w:p>
            <w:pPr>
              <w:pStyle w:val="TableParagraph"/>
              <w:tabs>
                <w:tab w:pos="1396" w:val="left" w:leader="none"/>
                <w:tab w:pos="2226" w:val="left" w:leader="none"/>
              </w:tabs>
              <w:ind w:left="498"/>
              <w:rPr>
                <w:sz w:val="18"/>
              </w:rPr>
            </w:pPr>
            <w:r>
              <w:rPr>
                <w:sz w:val="18"/>
              </w:rPr>
              <w:t>Yes</w:t>
              <w:tab/>
              <w:t>No</w:t>
              <w:tab/>
              <w:t>N/A</w:t>
            </w:r>
          </w:p>
        </w:tc>
        <w:tc>
          <w:tcPr>
            <w:tcW w:w="3119" w:type="dxa"/>
          </w:tcPr>
          <w:p>
            <w:pPr>
              <w:pStyle w:val="TableParagraph"/>
              <w:rPr>
                <w:rFonts w:ascii="Times New Roman"/>
                <w:sz w:val="18"/>
              </w:rPr>
            </w:pPr>
          </w:p>
        </w:tc>
      </w:tr>
    </w:tbl>
    <w:p>
      <w:pPr>
        <w:pStyle w:val="BodyText"/>
        <w:rPr>
          <w:sz w:val="20"/>
        </w:rPr>
      </w:pPr>
    </w:p>
    <w:p>
      <w:pPr>
        <w:pStyle w:val="BodyText"/>
        <w:spacing w:before="6"/>
        <w:rPr>
          <w:sz w:val="18"/>
        </w:rPr>
      </w:pPr>
    </w:p>
    <w:p>
      <w:pPr>
        <w:pStyle w:val="Heading1"/>
        <w:numPr>
          <w:ilvl w:val="1"/>
          <w:numId w:val="20"/>
        </w:numPr>
        <w:tabs>
          <w:tab w:pos="1002" w:val="left" w:leader="none"/>
          <w:tab w:pos="1003" w:val="left" w:leader="none"/>
        </w:tabs>
        <w:spacing w:line="240" w:lineRule="auto" w:before="0" w:after="0"/>
        <w:ind w:left="1002" w:right="3460" w:hanging="576"/>
        <w:jc w:val="left"/>
        <w:rPr>
          <w:b w:val="0"/>
          <w:sz w:val="18"/>
        </w:rPr>
      </w:pPr>
      <w:r>
        <w:rPr/>
        <w:pict>
          <v:rect style="position:absolute;margin-left:295.730011pt;margin-top:85.339867pt;width:13.8pt;height:13.8pt;mso-position-horizontal-relative:page;mso-position-vertical-relative:paragraph;z-index:-38488" filled="false" stroked="true" strokeweight=".72pt" strokecolor="#000000">
            <v:stroke dashstyle="solid"/>
            <w10:wrap type="none"/>
          </v:rect>
        </w:pict>
      </w:r>
      <w:r>
        <w:rPr/>
        <w:pict>
          <v:rect style="position:absolute;margin-left:340.630005pt;margin-top:85.339867pt;width:13.8pt;height:13.8pt;mso-position-horizontal-relative:page;mso-position-vertical-relative:paragraph;z-index:-38464" filled="false" stroked="true" strokeweight=".72pt" strokecolor="#000000">
            <v:stroke dashstyle="solid"/>
            <w10:wrap type="none"/>
          </v:rect>
        </w:pict>
      </w:r>
      <w:r>
        <w:rPr/>
        <w:pict>
          <v:rect style="position:absolute;margin-left:381.549988pt;margin-top:85.339867pt;width:13.8pt;height:13.8pt;mso-position-horizontal-relative:page;mso-position-vertical-relative:paragraph;z-index:-38440" filled="false" stroked="true" strokeweight=".72pt" strokecolor="#000000">
            <v:stroke dashstyle="solid"/>
            <w10:wrap type="none"/>
          </v:rect>
        </w:pict>
      </w:r>
      <w:r>
        <w:rPr/>
        <w:t>IMP: KAI TAHU KI OTAGO NATURAL RESOURCE MANAGEMENT PLAN (TAKIWĀ OF BOTH MOERAKI &amp; WAIHAO RŪNANGA) </w:t>
      </w:r>
      <w:r>
        <w:rPr>
          <w:b w:val="0"/>
          <w:sz w:val="18"/>
        </w:rPr>
        <w:t>Area: Waitaki</w:t>
      </w:r>
      <w:r>
        <w:rPr>
          <w:b w:val="0"/>
          <w:spacing w:val="-25"/>
          <w:sz w:val="18"/>
        </w:rPr>
        <w:t> </w:t>
      </w:r>
      <w:r>
        <w:rPr>
          <w:b w:val="0"/>
          <w:sz w:val="18"/>
        </w:rPr>
        <w:t>Catchment</w:t>
      </w:r>
    </w:p>
    <w:p>
      <w:pPr>
        <w:pStyle w:val="BodyText"/>
        <w:rPr>
          <w:sz w:val="20"/>
        </w:rPr>
      </w:pPr>
    </w:p>
    <w:p>
      <w:pPr>
        <w:pStyle w:val="BodyText"/>
        <w:spacing w:before="10"/>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2552"/>
        <w:gridCol w:w="2696"/>
        <w:gridCol w:w="3119"/>
      </w:tblGrid>
      <w:tr>
        <w:trPr>
          <w:trHeight w:val="455" w:hRule="atLeast"/>
        </w:trPr>
        <w:tc>
          <w:tcPr>
            <w:tcW w:w="5104" w:type="dxa"/>
            <w:gridSpan w:val="2"/>
          </w:tcPr>
          <w:p>
            <w:pPr>
              <w:pStyle w:val="TableParagraph"/>
              <w:spacing w:before="119"/>
              <w:ind w:left="107"/>
              <w:rPr>
                <w:b/>
                <w:sz w:val="18"/>
              </w:rPr>
            </w:pPr>
            <w:r>
              <w:rPr>
                <w:b/>
                <w:sz w:val="18"/>
              </w:rPr>
              <w:t>Kaupapa</w:t>
            </w:r>
          </w:p>
        </w:tc>
        <w:tc>
          <w:tcPr>
            <w:tcW w:w="2696" w:type="dxa"/>
          </w:tcPr>
          <w:p>
            <w:pPr>
              <w:pStyle w:val="TableParagraph"/>
              <w:spacing w:before="13"/>
              <w:ind w:left="109" w:right="216"/>
              <w:rPr>
                <w:b/>
                <w:sz w:val="18"/>
              </w:rPr>
            </w:pPr>
            <w:r>
              <w:rPr>
                <w:b/>
                <w:sz w:val="18"/>
              </w:rPr>
              <w:t>Will your proposal assist in achieving this?</w:t>
            </w:r>
          </w:p>
        </w:tc>
        <w:tc>
          <w:tcPr>
            <w:tcW w:w="3119" w:type="dxa"/>
          </w:tcPr>
          <w:p>
            <w:pPr>
              <w:pStyle w:val="TableParagraph"/>
              <w:spacing w:before="13"/>
              <w:ind w:left="106"/>
              <w:rPr>
                <w:b/>
                <w:sz w:val="18"/>
              </w:rPr>
            </w:pPr>
            <w:r>
              <w:rPr>
                <w:b/>
                <w:sz w:val="18"/>
              </w:rPr>
              <w:t>Explanation where relevant</w:t>
            </w:r>
          </w:p>
        </w:tc>
      </w:tr>
      <w:tr>
        <w:trPr>
          <w:trHeight w:val="2937" w:hRule="atLeast"/>
        </w:trPr>
        <w:tc>
          <w:tcPr>
            <w:tcW w:w="2552" w:type="dxa"/>
          </w:tcPr>
          <w:p>
            <w:pPr>
              <w:pStyle w:val="TableParagraph"/>
              <w:spacing w:line="207" w:lineRule="exact" w:before="114"/>
              <w:ind w:left="107"/>
              <w:rPr>
                <w:b/>
                <w:sz w:val="18"/>
              </w:rPr>
            </w:pPr>
            <w:r>
              <w:rPr>
                <w:b/>
                <w:sz w:val="18"/>
              </w:rPr>
              <w:t>Wai Maori General Policies</w:t>
            </w:r>
          </w:p>
          <w:p>
            <w:pPr>
              <w:pStyle w:val="TableParagraph"/>
              <w:spacing w:line="207" w:lineRule="exact"/>
              <w:ind w:left="107"/>
              <w:rPr>
                <w:b/>
                <w:sz w:val="18"/>
              </w:rPr>
            </w:pPr>
            <w:r>
              <w:rPr>
                <w:b/>
                <w:sz w:val="18"/>
              </w:rPr>
              <w:t>– Policy 1</w:t>
            </w:r>
          </w:p>
        </w:tc>
        <w:tc>
          <w:tcPr>
            <w:tcW w:w="2552" w:type="dxa"/>
          </w:tcPr>
          <w:p>
            <w:pPr>
              <w:pStyle w:val="TableParagraph"/>
              <w:spacing w:before="119"/>
              <w:ind w:left="109" w:right="131"/>
              <w:rPr>
                <w:sz w:val="18"/>
              </w:rPr>
            </w:pPr>
            <w:r>
              <w:rPr>
                <w:sz w:val="18"/>
              </w:rPr>
              <w:t>To require an assessment of instream values for all activities affecting water.</w:t>
            </w:r>
          </w:p>
        </w:tc>
        <w:tc>
          <w:tcPr>
            <w:tcW w:w="2696" w:type="dxa"/>
          </w:tcPr>
          <w:p>
            <w:pPr>
              <w:pStyle w:val="TableParagraph"/>
              <w:rPr>
                <w:sz w:val="20"/>
              </w:rPr>
            </w:pPr>
          </w:p>
          <w:p>
            <w:pPr>
              <w:pStyle w:val="TableParagraph"/>
              <w:spacing w:before="2"/>
              <w:rPr>
                <w:sz w:val="16"/>
              </w:rPr>
            </w:pPr>
          </w:p>
          <w:p>
            <w:pPr>
              <w:pStyle w:val="TableParagraph"/>
              <w:tabs>
                <w:tab w:pos="1396" w:val="left" w:leader="none"/>
                <w:tab w:pos="2226" w:val="left" w:leader="none"/>
              </w:tabs>
              <w:ind w:left="498"/>
              <w:rPr>
                <w:sz w:val="18"/>
              </w:rPr>
            </w:pPr>
            <w:r>
              <w:rPr>
                <w:sz w:val="18"/>
              </w:rPr>
              <w:t>Yes</w:t>
              <w:tab/>
              <w:t>No</w:t>
              <w:tab/>
              <w:t>N/A</w:t>
            </w:r>
          </w:p>
        </w:tc>
        <w:tc>
          <w:tcPr>
            <w:tcW w:w="3119" w:type="dxa"/>
          </w:tcPr>
          <w:p>
            <w:pPr>
              <w:pStyle w:val="TableParagraph"/>
              <w:rPr>
                <w:rFonts w:ascii="Times New Roman"/>
                <w:sz w:val="18"/>
              </w:rPr>
            </w:pPr>
          </w:p>
        </w:tc>
      </w:tr>
    </w:tbl>
    <w:sectPr>
      <w:pgSz w:w="11910" w:h="16850"/>
      <w:pgMar w:header="0" w:footer="962" w:top="880" w:bottom="1380" w:left="1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2.919922pt;width:595.2pt;height:69pt;mso-position-horizontal-relative:page;mso-position-vertical-relative:page;z-index:-43288" coordorigin="0,15458" coordsize="11904,1380">
          <v:shape style="position:absolute;left:0;top:15458;width:11904;height:1380" type="#_x0000_t75" stroked="false">
            <v:imagedata r:id="rId1" o:title=""/>
          </v:shape>
          <v:shape style="position:absolute;left:8774;top:15729;width:2439;height:814" type="#_x0000_t75" stroked="false">
            <v:imagedata r:id="rId2" o:title=""/>
          </v:shape>
          <v:shape style="position:absolute;left:319;top:15816;width:4284;height:665" type="#_x0000_t75" stroked="false">
            <v:imagedata r:id="rId3" o:title=""/>
          </v:shap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22pt;width:595.320pt;height:39.6pt;mso-position-horizontal-relative:page;mso-position-vertical-relative:page;z-index:-43336" filled="true" fillcolor="#93a1b4" stroked="false">
          <v:fill type="solid"/>
          <w10:wrap type="none"/>
        </v:rect>
      </w:pict>
    </w:r>
    <w:r>
      <w:rPr/>
      <w:pict>
        <v:shapetype id="_x0000_t202" o:spt="202" coordsize="21600,21600" path="m,l,21600r21600,l21600,xe">
          <v:stroke joinstyle="miter"/>
          <v:path gradientshapeok="t" o:connecttype="rect"/>
        </v:shapetype>
        <v:shape style="position:absolute;margin-left:27.559999pt;margin-top:12.616696pt;width:423.45pt;height:15.45pt;mso-position-horizontal-relative:page;mso-position-vertical-relative:page;z-index:-43312" type="#_x0000_t202" filled="false" stroked="false">
          <v:textbox inset="0,0,0,0">
            <w:txbxContent>
              <w:p>
                <w:pPr>
                  <w:spacing w:before="12"/>
                  <w:ind w:left="20" w:right="0" w:firstLine="0"/>
                  <w:jc w:val="left"/>
                  <w:rPr>
                    <w:b/>
                    <w:sz w:val="24"/>
                  </w:rPr>
                </w:pPr>
                <w:r>
                  <w:rPr>
                    <w:b/>
                    <w:color w:val="FFFFFF"/>
                    <w:sz w:val="24"/>
                  </w:rPr>
                  <w:t>PLANNING ASSESSMENT SHEET: FARMING ACTIVITY IN ORANGE ZONE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lowerLetter"/>
      <w:lvlText w:val="%1."/>
      <w:lvlJc w:val="left"/>
      <w:pPr>
        <w:ind w:left="470" w:hanging="360"/>
        <w:jc w:val="left"/>
      </w:pPr>
      <w:rPr>
        <w:rFonts w:hint="default"/>
        <w:spacing w:val="-3"/>
        <w:w w:val="99"/>
        <w:lang w:val="en-nz" w:eastAsia="en-nz" w:bidi="en-nz"/>
      </w:rPr>
    </w:lvl>
    <w:lvl w:ilvl="1">
      <w:start w:val="0"/>
      <w:numFmt w:val="bullet"/>
      <w:lvlText w:val="•"/>
      <w:lvlJc w:val="left"/>
      <w:pPr>
        <w:ind w:left="819" w:hanging="360"/>
      </w:pPr>
      <w:rPr>
        <w:rFonts w:hint="default"/>
        <w:lang w:val="en-nz" w:eastAsia="en-nz" w:bidi="en-nz"/>
      </w:rPr>
    </w:lvl>
    <w:lvl w:ilvl="2">
      <w:start w:val="0"/>
      <w:numFmt w:val="bullet"/>
      <w:lvlText w:val="•"/>
      <w:lvlJc w:val="left"/>
      <w:pPr>
        <w:ind w:left="1158" w:hanging="360"/>
      </w:pPr>
      <w:rPr>
        <w:rFonts w:hint="default"/>
        <w:lang w:val="en-nz" w:eastAsia="en-nz" w:bidi="en-nz"/>
      </w:rPr>
    </w:lvl>
    <w:lvl w:ilvl="3">
      <w:start w:val="0"/>
      <w:numFmt w:val="bullet"/>
      <w:lvlText w:val="•"/>
      <w:lvlJc w:val="left"/>
      <w:pPr>
        <w:ind w:left="1497" w:hanging="360"/>
      </w:pPr>
      <w:rPr>
        <w:rFonts w:hint="default"/>
        <w:lang w:val="en-nz" w:eastAsia="en-nz" w:bidi="en-nz"/>
      </w:rPr>
    </w:lvl>
    <w:lvl w:ilvl="4">
      <w:start w:val="0"/>
      <w:numFmt w:val="bullet"/>
      <w:lvlText w:val="•"/>
      <w:lvlJc w:val="left"/>
      <w:pPr>
        <w:ind w:left="1836" w:hanging="360"/>
      </w:pPr>
      <w:rPr>
        <w:rFonts w:hint="default"/>
        <w:lang w:val="en-nz" w:eastAsia="en-nz" w:bidi="en-nz"/>
      </w:rPr>
    </w:lvl>
    <w:lvl w:ilvl="5">
      <w:start w:val="0"/>
      <w:numFmt w:val="bullet"/>
      <w:lvlText w:val="•"/>
      <w:lvlJc w:val="left"/>
      <w:pPr>
        <w:ind w:left="2176" w:hanging="360"/>
      </w:pPr>
      <w:rPr>
        <w:rFonts w:hint="default"/>
        <w:lang w:val="en-nz" w:eastAsia="en-nz" w:bidi="en-nz"/>
      </w:rPr>
    </w:lvl>
    <w:lvl w:ilvl="6">
      <w:start w:val="0"/>
      <w:numFmt w:val="bullet"/>
      <w:lvlText w:val="•"/>
      <w:lvlJc w:val="left"/>
      <w:pPr>
        <w:ind w:left="2515" w:hanging="360"/>
      </w:pPr>
      <w:rPr>
        <w:rFonts w:hint="default"/>
        <w:lang w:val="en-nz" w:eastAsia="en-nz" w:bidi="en-nz"/>
      </w:rPr>
    </w:lvl>
    <w:lvl w:ilvl="7">
      <w:start w:val="0"/>
      <w:numFmt w:val="bullet"/>
      <w:lvlText w:val="•"/>
      <w:lvlJc w:val="left"/>
      <w:pPr>
        <w:ind w:left="2854" w:hanging="360"/>
      </w:pPr>
      <w:rPr>
        <w:rFonts w:hint="default"/>
        <w:lang w:val="en-nz" w:eastAsia="en-nz" w:bidi="en-nz"/>
      </w:rPr>
    </w:lvl>
    <w:lvl w:ilvl="8">
      <w:start w:val="0"/>
      <w:numFmt w:val="bullet"/>
      <w:lvlText w:val="•"/>
      <w:lvlJc w:val="left"/>
      <w:pPr>
        <w:ind w:left="3193" w:hanging="360"/>
      </w:pPr>
      <w:rPr>
        <w:rFonts w:hint="default"/>
        <w:lang w:val="en-nz" w:eastAsia="en-nz" w:bidi="en-nz"/>
      </w:rPr>
    </w:lvl>
  </w:abstractNum>
  <w:abstractNum w:abstractNumId="24">
    <w:multiLevelType w:val="hybridMultilevel"/>
    <w:lvl w:ilvl="0">
      <w:start w:val="1"/>
      <w:numFmt w:val="lowerLetter"/>
      <w:lvlText w:val="%1."/>
      <w:lvlJc w:val="left"/>
      <w:pPr>
        <w:ind w:left="470" w:hanging="360"/>
        <w:jc w:val="left"/>
      </w:pPr>
      <w:rPr>
        <w:rFonts w:hint="default" w:ascii="Arial" w:hAnsi="Arial" w:eastAsia="Arial" w:cs="Arial"/>
        <w:spacing w:val="-4"/>
        <w:w w:val="99"/>
        <w:sz w:val="18"/>
        <w:szCs w:val="18"/>
        <w:lang w:val="en-nz" w:eastAsia="en-nz" w:bidi="en-nz"/>
      </w:rPr>
    </w:lvl>
    <w:lvl w:ilvl="1">
      <w:start w:val="0"/>
      <w:numFmt w:val="bullet"/>
      <w:lvlText w:val="•"/>
      <w:lvlJc w:val="left"/>
      <w:pPr>
        <w:ind w:left="819" w:hanging="360"/>
      </w:pPr>
      <w:rPr>
        <w:rFonts w:hint="default"/>
        <w:lang w:val="en-nz" w:eastAsia="en-nz" w:bidi="en-nz"/>
      </w:rPr>
    </w:lvl>
    <w:lvl w:ilvl="2">
      <w:start w:val="0"/>
      <w:numFmt w:val="bullet"/>
      <w:lvlText w:val="•"/>
      <w:lvlJc w:val="left"/>
      <w:pPr>
        <w:ind w:left="1158" w:hanging="360"/>
      </w:pPr>
      <w:rPr>
        <w:rFonts w:hint="default"/>
        <w:lang w:val="en-nz" w:eastAsia="en-nz" w:bidi="en-nz"/>
      </w:rPr>
    </w:lvl>
    <w:lvl w:ilvl="3">
      <w:start w:val="0"/>
      <w:numFmt w:val="bullet"/>
      <w:lvlText w:val="•"/>
      <w:lvlJc w:val="left"/>
      <w:pPr>
        <w:ind w:left="1497" w:hanging="360"/>
      </w:pPr>
      <w:rPr>
        <w:rFonts w:hint="default"/>
        <w:lang w:val="en-nz" w:eastAsia="en-nz" w:bidi="en-nz"/>
      </w:rPr>
    </w:lvl>
    <w:lvl w:ilvl="4">
      <w:start w:val="0"/>
      <w:numFmt w:val="bullet"/>
      <w:lvlText w:val="•"/>
      <w:lvlJc w:val="left"/>
      <w:pPr>
        <w:ind w:left="1836" w:hanging="360"/>
      </w:pPr>
      <w:rPr>
        <w:rFonts w:hint="default"/>
        <w:lang w:val="en-nz" w:eastAsia="en-nz" w:bidi="en-nz"/>
      </w:rPr>
    </w:lvl>
    <w:lvl w:ilvl="5">
      <w:start w:val="0"/>
      <w:numFmt w:val="bullet"/>
      <w:lvlText w:val="•"/>
      <w:lvlJc w:val="left"/>
      <w:pPr>
        <w:ind w:left="2176" w:hanging="360"/>
      </w:pPr>
      <w:rPr>
        <w:rFonts w:hint="default"/>
        <w:lang w:val="en-nz" w:eastAsia="en-nz" w:bidi="en-nz"/>
      </w:rPr>
    </w:lvl>
    <w:lvl w:ilvl="6">
      <w:start w:val="0"/>
      <w:numFmt w:val="bullet"/>
      <w:lvlText w:val="•"/>
      <w:lvlJc w:val="left"/>
      <w:pPr>
        <w:ind w:left="2515" w:hanging="360"/>
      </w:pPr>
      <w:rPr>
        <w:rFonts w:hint="default"/>
        <w:lang w:val="en-nz" w:eastAsia="en-nz" w:bidi="en-nz"/>
      </w:rPr>
    </w:lvl>
    <w:lvl w:ilvl="7">
      <w:start w:val="0"/>
      <w:numFmt w:val="bullet"/>
      <w:lvlText w:val="•"/>
      <w:lvlJc w:val="left"/>
      <w:pPr>
        <w:ind w:left="2854" w:hanging="360"/>
      </w:pPr>
      <w:rPr>
        <w:rFonts w:hint="default"/>
        <w:lang w:val="en-nz" w:eastAsia="en-nz" w:bidi="en-nz"/>
      </w:rPr>
    </w:lvl>
    <w:lvl w:ilvl="8">
      <w:start w:val="0"/>
      <w:numFmt w:val="bullet"/>
      <w:lvlText w:val="•"/>
      <w:lvlJc w:val="left"/>
      <w:pPr>
        <w:ind w:left="3193" w:hanging="360"/>
      </w:pPr>
      <w:rPr>
        <w:rFonts w:hint="default"/>
        <w:lang w:val="en-nz" w:eastAsia="en-nz" w:bidi="en-nz"/>
      </w:rPr>
    </w:lvl>
  </w:abstractNum>
  <w:abstractNum w:abstractNumId="23">
    <w:multiLevelType w:val="hybridMultilevel"/>
    <w:lvl w:ilvl="0">
      <w:start w:val="1"/>
      <w:numFmt w:val="lowerLetter"/>
      <w:lvlText w:val="%1."/>
      <w:lvlJc w:val="left"/>
      <w:pPr>
        <w:ind w:left="470" w:hanging="360"/>
        <w:jc w:val="left"/>
      </w:pPr>
      <w:rPr>
        <w:rFonts w:hint="default" w:ascii="Arial" w:hAnsi="Arial" w:eastAsia="Arial" w:cs="Arial"/>
        <w:spacing w:val="-3"/>
        <w:w w:val="99"/>
        <w:sz w:val="18"/>
        <w:szCs w:val="18"/>
        <w:lang w:val="en-nz" w:eastAsia="en-nz" w:bidi="en-nz"/>
      </w:rPr>
    </w:lvl>
    <w:lvl w:ilvl="1">
      <w:start w:val="0"/>
      <w:numFmt w:val="bullet"/>
      <w:lvlText w:val="•"/>
      <w:lvlJc w:val="left"/>
      <w:pPr>
        <w:ind w:left="819" w:hanging="360"/>
      </w:pPr>
      <w:rPr>
        <w:rFonts w:hint="default"/>
        <w:lang w:val="en-nz" w:eastAsia="en-nz" w:bidi="en-nz"/>
      </w:rPr>
    </w:lvl>
    <w:lvl w:ilvl="2">
      <w:start w:val="0"/>
      <w:numFmt w:val="bullet"/>
      <w:lvlText w:val="•"/>
      <w:lvlJc w:val="left"/>
      <w:pPr>
        <w:ind w:left="1158" w:hanging="360"/>
      </w:pPr>
      <w:rPr>
        <w:rFonts w:hint="default"/>
        <w:lang w:val="en-nz" w:eastAsia="en-nz" w:bidi="en-nz"/>
      </w:rPr>
    </w:lvl>
    <w:lvl w:ilvl="3">
      <w:start w:val="0"/>
      <w:numFmt w:val="bullet"/>
      <w:lvlText w:val="•"/>
      <w:lvlJc w:val="left"/>
      <w:pPr>
        <w:ind w:left="1497" w:hanging="360"/>
      </w:pPr>
      <w:rPr>
        <w:rFonts w:hint="default"/>
        <w:lang w:val="en-nz" w:eastAsia="en-nz" w:bidi="en-nz"/>
      </w:rPr>
    </w:lvl>
    <w:lvl w:ilvl="4">
      <w:start w:val="0"/>
      <w:numFmt w:val="bullet"/>
      <w:lvlText w:val="•"/>
      <w:lvlJc w:val="left"/>
      <w:pPr>
        <w:ind w:left="1836" w:hanging="360"/>
      </w:pPr>
      <w:rPr>
        <w:rFonts w:hint="default"/>
        <w:lang w:val="en-nz" w:eastAsia="en-nz" w:bidi="en-nz"/>
      </w:rPr>
    </w:lvl>
    <w:lvl w:ilvl="5">
      <w:start w:val="0"/>
      <w:numFmt w:val="bullet"/>
      <w:lvlText w:val="•"/>
      <w:lvlJc w:val="left"/>
      <w:pPr>
        <w:ind w:left="2176" w:hanging="360"/>
      </w:pPr>
      <w:rPr>
        <w:rFonts w:hint="default"/>
        <w:lang w:val="en-nz" w:eastAsia="en-nz" w:bidi="en-nz"/>
      </w:rPr>
    </w:lvl>
    <w:lvl w:ilvl="6">
      <w:start w:val="0"/>
      <w:numFmt w:val="bullet"/>
      <w:lvlText w:val="•"/>
      <w:lvlJc w:val="left"/>
      <w:pPr>
        <w:ind w:left="2515" w:hanging="360"/>
      </w:pPr>
      <w:rPr>
        <w:rFonts w:hint="default"/>
        <w:lang w:val="en-nz" w:eastAsia="en-nz" w:bidi="en-nz"/>
      </w:rPr>
    </w:lvl>
    <w:lvl w:ilvl="7">
      <w:start w:val="0"/>
      <w:numFmt w:val="bullet"/>
      <w:lvlText w:val="•"/>
      <w:lvlJc w:val="left"/>
      <w:pPr>
        <w:ind w:left="2854" w:hanging="360"/>
      </w:pPr>
      <w:rPr>
        <w:rFonts w:hint="default"/>
        <w:lang w:val="en-nz" w:eastAsia="en-nz" w:bidi="en-nz"/>
      </w:rPr>
    </w:lvl>
    <w:lvl w:ilvl="8">
      <w:start w:val="0"/>
      <w:numFmt w:val="bullet"/>
      <w:lvlText w:val="•"/>
      <w:lvlJc w:val="left"/>
      <w:pPr>
        <w:ind w:left="3193" w:hanging="360"/>
      </w:pPr>
      <w:rPr>
        <w:rFonts w:hint="default"/>
        <w:lang w:val="en-nz" w:eastAsia="en-nz" w:bidi="en-nz"/>
      </w:rPr>
    </w:lvl>
  </w:abstractNum>
  <w:abstractNum w:abstractNumId="22">
    <w:multiLevelType w:val="hybridMultilevel"/>
    <w:lvl w:ilvl="0">
      <w:start w:val="0"/>
      <w:numFmt w:val="bullet"/>
      <w:lvlText w:val="–"/>
      <w:lvlJc w:val="left"/>
      <w:pPr>
        <w:ind w:left="107" w:hanging="152"/>
      </w:pPr>
      <w:rPr>
        <w:rFonts w:hint="default" w:ascii="Arial" w:hAnsi="Arial" w:eastAsia="Arial" w:cs="Arial"/>
        <w:b/>
        <w:bCs/>
        <w:w w:val="100"/>
        <w:sz w:val="18"/>
        <w:szCs w:val="18"/>
        <w:lang w:val="en-nz" w:eastAsia="en-nz" w:bidi="en-nz"/>
      </w:rPr>
    </w:lvl>
    <w:lvl w:ilvl="1">
      <w:start w:val="0"/>
      <w:numFmt w:val="bullet"/>
      <w:lvlText w:val="•"/>
      <w:lvlJc w:val="left"/>
      <w:pPr>
        <w:ind w:left="233" w:hanging="152"/>
      </w:pPr>
      <w:rPr>
        <w:rFonts w:hint="default"/>
        <w:lang w:val="en-nz" w:eastAsia="en-nz" w:bidi="en-nz"/>
      </w:rPr>
    </w:lvl>
    <w:lvl w:ilvl="2">
      <w:start w:val="0"/>
      <w:numFmt w:val="bullet"/>
      <w:lvlText w:val="•"/>
      <w:lvlJc w:val="left"/>
      <w:pPr>
        <w:ind w:left="367" w:hanging="152"/>
      </w:pPr>
      <w:rPr>
        <w:rFonts w:hint="default"/>
        <w:lang w:val="en-nz" w:eastAsia="en-nz" w:bidi="en-nz"/>
      </w:rPr>
    </w:lvl>
    <w:lvl w:ilvl="3">
      <w:start w:val="0"/>
      <w:numFmt w:val="bullet"/>
      <w:lvlText w:val="•"/>
      <w:lvlJc w:val="left"/>
      <w:pPr>
        <w:ind w:left="501" w:hanging="152"/>
      </w:pPr>
      <w:rPr>
        <w:rFonts w:hint="default"/>
        <w:lang w:val="en-nz" w:eastAsia="en-nz" w:bidi="en-nz"/>
      </w:rPr>
    </w:lvl>
    <w:lvl w:ilvl="4">
      <w:start w:val="0"/>
      <w:numFmt w:val="bullet"/>
      <w:lvlText w:val="•"/>
      <w:lvlJc w:val="left"/>
      <w:pPr>
        <w:ind w:left="635" w:hanging="152"/>
      </w:pPr>
      <w:rPr>
        <w:rFonts w:hint="default"/>
        <w:lang w:val="en-nz" w:eastAsia="en-nz" w:bidi="en-nz"/>
      </w:rPr>
    </w:lvl>
    <w:lvl w:ilvl="5">
      <w:start w:val="0"/>
      <w:numFmt w:val="bullet"/>
      <w:lvlText w:val="•"/>
      <w:lvlJc w:val="left"/>
      <w:pPr>
        <w:ind w:left="769" w:hanging="152"/>
      </w:pPr>
      <w:rPr>
        <w:rFonts w:hint="default"/>
        <w:lang w:val="en-nz" w:eastAsia="en-nz" w:bidi="en-nz"/>
      </w:rPr>
    </w:lvl>
    <w:lvl w:ilvl="6">
      <w:start w:val="0"/>
      <w:numFmt w:val="bullet"/>
      <w:lvlText w:val="•"/>
      <w:lvlJc w:val="left"/>
      <w:pPr>
        <w:ind w:left="902" w:hanging="152"/>
      </w:pPr>
      <w:rPr>
        <w:rFonts w:hint="default"/>
        <w:lang w:val="en-nz" w:eastAsia="en-nz" w:bidi="en-nz"/>
      </w:rPr>
    </w:lvl>
    <w:lvl w:ilvl="7">
      <w:start w:val="0"/>
      <w:numFmt w:val="bullet"/>
      <w:lvlText w:val="•"/>
      <w:lvlJc w:val="left"/>
      <w:pPr>
        <w:ind w:left="1036" w:hanging="152"/>
      </w:pPr>
      <w:rPr>
        <w:rFonts w:hint="default"/>
        <w:lang w:val="en-nz" w:eastAsia="en-nz" w:bidi="en-nz"/>
      </w:rPr>
    </w:lvl>
    <w:lvl w:ilvl="8">
      <w:start w:val="0"/>
      <w:numFmt w:val="bullet"/>
      <w:lvlText w:val="•"/>
      <w:lvlJc w:val="left"/>
      <w:pPr>
        <w:ind w:left="1170" w:hanging="152"/>
      </w:pPr>
      <w:rPr>
        <w:rFonts w:hint="default"/>
        <w:lang w:val="en-nz" w:eastAsia="en-nz" w:bidi="en-nz"/>
      </w:rPr>
    </w:lvl>
  </w:abstractNum>
  <w:abstractNum w:abstractNumId="21">
    <w:multiLevelType w:val="hybridMultilevel"/>
    <w:lvl w:ilvl="0">
      <w:start w:val="0"/>
      <w:numFmt w:val="bullet"/>
      <w:lvlText w:val="–"/>
      <w:lvlJc w:val="left"/>
      <w:pPr>
        <w:ind w:left="107" w:hanging="152"/>
      </w:pPr>
      <w:rPr>
        <w:rFonts w:hint="default" w:ascii="Arial" w:hAnsi="Arial" w:eastAsia="Arial" w:cs="Arial"/>
        <w:b/>
        <w:bCs/>
        <w:w w:val="100"/>
        <w:sz w:val="18"/>
        <w:szCs w:val="18"/>
        <w:lang w:val="en-nz" w:eastAsia="en-nz" w:bidi="en-nz"/>
      </w:rPr>
    </w:lvl>
    <w:lvl w:ilvl="1">
      <w:start w:val="0"/>
      <w:numFmt w:val="bullet"/>
      <w:lvlText w:val="•"/>
      <w:lvlJc w:val="left"/>
      <w:pPr>
        <w:ind w:left="233" w:hanging="152"/>
      </w:pPr>
      <w:rPr>
        <w:rFonts w:hint="default"/>
        <w:lang w:val="en-nz" w:eastAsia="en-nz" w:bidi="en-nz"/>
      </w:rPr>
    </w:lvl>
    <w:lvl w:ilvl="2">
      <w:start w:val="0"/>
      <w:numFmt w:val="bullet"/>
      <w:lvlText w:val="•"/>
      <w:lvlJc w:val="left"/>
      <w:pPr>
        <w:ind w:left="367" w:hanging="152"/>
      </w:pPr>
      <w:rPr>
        <w:rFonts w:hint="default"/>
        <w:lang w:val="en-nz" w:eastAsia="en-nz" w:bidi="en-nz"/>
      </w:rPr>
    </w:lvl>
    <w:lvl w:ilvl="3">
      <w:start w:val="0"/>
      <w:numFmt w:val="bullet"/>
      <w:lvlText w:val="•"/>
      <w:lvlJc w:val="left"/>
      <w:pPr>
        <w:ind w:left="501" w:hanging="152"/>
      </w:pPr>
      <w:rPr>
        <w:rFonts w:hint="default"/>
        <w:lang w:val="en-nz" w:eastAsia="en-nz" w:bidi="en-nz"/>
      </w:rPr>
    </w:lvl>
    <w:lvl w:ilvl="4">
      <w:start w:val="0"/>
      <w:numFmt w:val="bullet"/>
      <w:lvlText w:val="•"/>
      <w:lvlJc w:val="left"/>
      <w:pPr>
        <w:ind w:left="635" w:hanging="152"/>
      </w:pPr>
      <w:rPr>
        <w:rFonts w:hint="default"/>
        <w:lang w:val="en-nz" w:eastAsia="en-nz" w:bidi="en-nz"/>
      </w:rPr>
    </w:lvl>
    <w:lvl w:ilvl="5">
      <w:start w:val="0"/>
      <w:numFmt w:val="bullet"/>
      <w:lvlText w:val="•"/>
      <w:lvlJc w:val="left"/>
      <w:pPr>
        <w:ind w:left="769" w:hanging="152"/>
      </w:pPr>
      <w:rPr>
        <w:rFonts w:hint="default"/>
        <w:lang w:val="en-nz" w:eastAsia="en-nz" w:bidi="en-nz"/>
      </w:rPr>
    </w:lvl>
    <w:lvl w:ilvl="6">
      <w:start w:val="0"/>
      <w:numFmt w:val="bullet"/>
      <w:lvlText w:val="•"/>
      <w:lvlJc w:val="left"/>
      <w:pPr>
        <w:ind w:left="902" w:hanging="152"/>
      </w:pPr>
      <w:rPr>
        <w:rFonts w:hint="default"/>
        <w:lang w:val="en-nz" w:eastAsia="en-nz" w:bidi="en-nz"/>
      </w:rPr>
    </w:lvl>
    <w:lvl w:ilvl="7">
      <w:start w:val="0"/>
      <w:numFmt w:val="bullet"/>
      <w:lvlText w:val="•"/>
      <w:lvlJc w:val="left"/>
      <w:pPr>
        <w:ind w:left="1036" w:hanging="152"/>
      </w:pPr>
      <w:rPr>
        <w:rFonts w:hint="default"/>
        <w:lang w:val="en-nz" w:eastAsia="en-nz" w:bidi="en-nz"/>
      </w:rPr>
    </w:lvl>
    <w:lvl w:ilvl="8">
      <w:start w:val="0"/>
      <w:numFmt w:val="bullet"/>
      <w:lvlText w:val="•"/>
      <w:lvlJc w:val="left"/>
      <w:pPr>
        <w:ind w:left="1170" w:hanging="152"/>
      </w:pPr>
      <w:rPr>
        <w:rFonts w:hint="default"/>
        <w:lang w:val="en-nz" w:eastAsia="en-nz" w:bidi="en-nz"/>
      </w:rPr>
    </w:lvl>
  </w:abstractNum>
  <w:abstractNum w:abstractNumId="20">
    <w:multiLevelType w:val="hybridMultilevel"/>
    <w:lvl w:ilvl="0">
      <w:start w:val="0"/>
      <w:numFmt w:val="bullet"/>
      <w:lvlText w:val="–"/>
      <w:lvlJc w:val="left"/>
      <w:pPr>
        <w:ind w:left="107" w:hanging="152"/>
      </w:pPr>
      <w:rPr>
        <w:rFonts w:hint="default" w:ascii="Arial" w:hAnsi="Arial" w:eastAsia="Arial" w:cs="Arial"/>
        <w:b/>
        <w:bCs/>
        <w:w w:val="100"/>
        <w:sz w:val="18"/>
        <w:szCs w:val="18"/>
        <w:lang w:val="en-nz" w:eastAsia="en-nz" w:bidi="en-nz"/>
      </w:rPr>
    </w:lvl>
    <w:lvl w:ilvl="1">
      <w:start w:val="0"/>
      <w:numFmt w:val="bullet"/>
      <w:lvlText w:val="•"/>
      <w:lvlJc w:val="left"/>
      <w:pPr>
        <w:ind w:left="233" w:hanging="152"/>
      </w:pPr>
      <w:rPr>
        <w:rFonts w:hint="default"/>
        <w:lang w:val="en-nz" w:eastAsia="en-nz" w:bidi="en-nz"/>
      </w:rPr>
    </w:lvl>
    <w:lvl w:ilvl="2">
      <w:start w:val="0"/>
      <w:numFmt w:val="bullet"/>
      <w:lvlText w:val="•"/>
      <w:lvlJc w:val="left"/>
      <w:pPr>
        <w:ind w:left="367" w:hanging="152"/>
      </w:pPr>
      <w:rPr>
        <w:rFonts w:hint="default"/>
        <w:lang w:val="en-nz" w:eastAsia="en-nz" w:bidi="en-nz"/>
      </w:rPr>
    </w:lvl>
    <w:lvl w:ilvl="3">
      <w:start w:val="0"/>
      <w:numFmt w:val="bullet"/>
      <w:lvlText w:val="•"/>
      <w:lvlJc w:val="left"/>
      <w:pPr>
        <w:ind w:left="501" w:hanging="152"/>
      </w:pPr>
      <w:rPr>
        <w:rFonts w:hint="default"/>
        <w:lang w:val="en-nz" w:eastAsia="en-nz" w:bidi="en-nz"/>
      </w:rPr>
    </w:lvl>
    <w:lvl w:ilvl="4">
      <w:start w:val="0"/>
      <w:numFmt w:val="bullet"/>
      <w:lvlText w:val="•"/>
      <w:lvlJc w:val="left"/>
      <w:pPr>
        <w:ind w:left="635" w:hanging="152"/>
      </w:pPr>
      <w:rPr>
        <w:rFonts w:hint="default"/>
        <w:lang w:val="en-nz" w:eastAsia="en-nz" w:bidi="en-nz"/>
      </w:rPr>
    </w:lvl>
    <w:lvl w:ilvl="5">
      <w:start w:val="0"/>
      <w:numFmt w:val="bullet"/>
      <w:lvlText w:val="•"/>
      <w:lvlJc w:val="left"/>
      <w:pPr>
        <w:ind w:left="769" w:hanging="152"/>
      </w:pPr>
      <w:rPr>
        <w:rFonts w:hint="default"/>
        <w:lang w:val="en-nz" w:eastAsia="en-nz" w:bidi="en-nz"/>
      </w:rPr>
    </w:lvl>
    <w:lvl w:ilvl="6">
      <w:start w:val="0"/>
      <w:numFmt w:val="bullet"/>
      <w:lvlText w:val="•"/>
      <w:lvlJc w:val="left"/>
      <w:pPr>
        <w:ind w:left="902" w:hanging="152"/>
      </w:pPr>
      <w:rPr>
        <w:rFonts w:hint="default"/>
        <w:lang w:val="en-nz" w:eastAsia="en-nz" w:bidi="en-nz"/>
      </w:rPr>
    </w:lvl>
    <w:lvl w:ilvl="7">
      <w:start w:val="0"/>
      <w:numFmt w:val="bullet"/>
      <w:lvlText w:val="•"/>
      <w:lvlJc w:val="left"/>
      <w:pPr>
        <w:ind w:left="1036" w:hanging="152"/>
      </w:pPr>
      <w:rPr>
        <w:rFonts w:hint="default"/>
        <w:lang w:val="en-nz" w:eastAsia="en-nz" w:bidi="en-nz"/>
      </w:rPr>
    </w:lvl>
    <w:lvl w:ilvl="8">
      <w:start w:val="0"/>
      <w:numFmt w:val="bullet"/>
      <w:lvlText w:val="•"/>
      <w:lvlJc w:val="left"/>
      <w:pPr>
        <w:ind w:left="1170" w:hanging="152"/>
      </w:pPr>
      <w:rPr>
        <w:rFonts w:hint="default"/>
        <w:lang w:val="en-nz" w:eastAsia="en-nz" w:bidi="en-nz"/>
      </w:rPr>
    </w:lvl>
  </w:abstractNum>
  <w:abstractNum w:abstractNumId="19">
    <w:multiLevelType w:val="hybridMultilevel"/>
    <w:lvl w:ilvl="0">
      <w:start w:val="2"/>
      <w:numFmt w:val="decimal"/>
      <w:lvlText w:val="%1"/>
      <w:lvlJc w:val="left"/>
      <w:pPr>
        <w:ind w:left="1002" w:hanging="576"/>
        <w:jc w:val="left"/>
      </w:pPr>
      <w:rPr>
        <w:rFonts w:hint="default"/>
        <w:lang w:val="en-nz" w:eastAsia="en-nz" w:bidi="en-nz"/>
      </w:rPr>
    </w:lvl>
    <w:lvl w:ilvl="1">
      <w:start w:val="1"/>
      <w:numFmt w:val="decimal"/>
      <w:lvlText w:val="%1.%2"/>
      <w:lvlJc w:val="left"/>
      <w:pPr>
        <w:ind w:left="1002" w:hanging="576"/>
        <w:jc w:val="left"/>
      </w:pPr>
      <w:rPr>
        <w:rFonts w:hint="default"/>
        <w:b/>
        <w:bCs/>
        <w:w w:val="99"/>
        <w:lang w:val="en-nz" w:eastAsia="en-nz" w:bidi="en-nz"/>
      </w:rPr>
    </w:lvl>
    <w:lvl w:ilvl="2">
      <w:start w:val="1"/>
      <w:numFmt w:val="decimal"/>
      <w:lvlText w:val="%1.%2.%3"/>
      <w:lvlJc w:val="left"/>
      <w:pPr>
        <w:ind w:left="1430" w:hanging="721"/>
        <w:jc w:val="left"/>
      </w:pPr>
      <w:rPr>
        <w:rFonts w:hint="default" w:ascii="Arial" w:hAnsi="Arial" w:eastAsia="Arial" w:cs="Arial"/>
        <w:b/>
        <w:bCs/>
        <w:i/>
        <w:w w:val="99"/>
        <w:sz w:val="18"/>
        <w:szCs w:val="18"/>
        <w:lang w:val="en-nz" w:eastAsia="en-nz" w:bidi="en-nz"/>
      </w:rPr>
    </w:lvl>
    <w:lvl w:ilvl="3">
      <w:start w:val="0"/>
      <w:numFmt w:val="bullet"/>
      <w:lvlText w:val="•"/>
      <w:lvlJc w:val="left"/>
      <w:pPr>
        <w:ind w:left="3690" w:hanging="721"/>
      </w:pPr>
      <w:rPr>
        <w:rFonts w:hint="default"/>
        <w:lang w:val="en-nz" w:eastAsia="en-nz" w:bidi="en-nz"/>
      </w:rPr>
    </w:lvl>
    <w:lvl w:ilvl="4">
      <w:start w:val="0"/>
      <w:numFmt w:val="bullet"/>
      <w:lvlText w:val="•"/>
      <w:lvlJc w:val="left"/>
      <w:pPr>
        <w:ind w:left="4815" w:hanging="721"/>
      </w:pPr>
      <w:rPr>
        <w:rFonts w:hint="default"/>
        <w:lang w:val="en-nz" w:eastAsia="en-nz" w:bidi="en-nz"/>
      </w:rPr>
    </w:lvl>
    <w:lvl w:ilvl="5">
      <w:start w:val="0"/>
      <w:numFmt w:val="bullet"/>
      <w:lvlText w:val="•"/>
      <w:lvlJc w:val="left"/>
      <w:pPr>
        <w:ind w:left="5940" w:hanging="721"/>
      </w:pPr>
      <w:rPr>
        <w:rFonts w:hint="default"/>
        <w:lang w:val="en-nz" w:eastAsia="en-nz" w:bidi="en-nz"/>
      </w:rPr>
    </w:lvl>
    <w:lvl w:ilvl="6">
      <w:start w:val="0"/>
      <w:numFmt w:val="bullet"/>
      <w:lvlText w:val="•"/>
      <w:lvlJc w:val="left"/>
      <w:pPr>
        <w:ind w:left="7065" w:hanging="721"/>
      </w:pPr>
      <w:rPr>
        <w:rFonts w:hint="default"/>
        <w:lang w:val="en-nz" w:eastAsia="en-nz" w:bidi="en-nz"/>
      </w:rPr>
    </w:lvl>
    <w:lvl w:ilvl="7">
      <w:start w:val="0"/>
      <w:numFmt w:val="bullet"/>
      <w:lvlText w:val="•"/>
      <w:lvlJc w:val="left"/>
      <w:pPr>
        <w:ind w:left="8190" w:hanging="721"/>
      </w:pPr>
      <w:rPr>
        <w:rFonts w:hint="default"/>
        <w:lang w:val="en-nz" w:eastAsia="en-nz" w:bidi="en-nz"/>
      </w:rPr>
    </w:lvl>
    <w:lvl w:ilvl="8">
      <w:start w:val="0"/>
      <w:numFmt w:val="bullet"/>
      <w:lvlText w:val="•"/>
      <w:lvlJc w:val="left"/>
      <w:pPr>
        <w:ind w:left="9316" w:hanging="721"/>
      </w:pPr>
      <w:rPr>
        <w:rFonts w:hint="default"/>
        <w:lang w:val="en-nz" w:eastAsia="en-nz" w:bidi="en-nz"/>
      </w:rPr>
    </w:lvl>
  </w:abstractNum>
  <w:abstractNum w:abstractNumId="18">
    <w:multiLevelType w:val="hybridMultilevel"/>
    <w:lvl w:ilvl="0">
      <w:start w:val="1"/>
      <w:numFmt w:val="lowerLetter"/>
      <w:lvlText w:val="%1."/>
      <w:lvlJc w:val="left"/>
      <w:pPr>
        <w:ind w:left="828" w:hanging="361"/>
        <w:jc w:val="left"/>
      </w:pPr>
      <w:rPr>
        <w:rFonts w:hint="default" w:ascii="Arial" w:hAnsi="Arial" w:eastAsia="Arial" w:cs="Arial"/>
        <w:spacing w:val="-2"/>
        <w:w w:val="99"/>
        <w:sz w:val="18"/>
        <w:szCs w:val="18"/>
        <w:lang w:val="en-nz" w:eastAsia="en-nz" w:bidi="en-nz"/>
      </w:rPr>
    </w:lvl>
    <w:lvl w:ilvl="1">
      <w:start w:val="0"/>
      <w:numFmt w:val="bullet"/>
      <w:lvlText w:val="•"/>
      <w:lvlJc w:val="left"/>
      <w:pPr>
        <w:ind w:left="1247" w:hanging="361"/>
      </w:pPr>
      <w:rPr>
        <w:rFonts w:hint="default"/>
        <w:lang w:val="en-nz" w:eastAsia="en-nz" w:bidi="en-nz"/>
      </w:rPr>
    </w:lvl>
    <w:lvl w:ilvl="2">
      <w:start w:val="0"/>
      <w:numFmt w:val="bullet"/>
      <w:lvlText w:val="•"/>
      <w:lvlJc w:val="left"/>
      <w:pPr>
        <w:ind w:left="1674" w:hanging="361"/>
      </w:pPr>
      <w:rPr>
        <w:rFonts w:hint="default"/>
        <w:lang w:val="en-nz" w:eastAsia="en-nz" w:bidi="en-nz"/>
      </w:rPr>
    </w:lvl>
    <w:lvl w:ilvl="3">
      <w:start w:val="0"/>
      <w:numFmt w:val="bullet"/>
      <w:lvlText w:val="•"/>
      <w:lvlJc w:val="left"/>
      <w:pPr>
        <w:ind w:left="2101" w:hanging="361"/>
      </w:pPr>
      <w:rPr>
        <w:rFonts w:hint="default"/>
        <w:lang w:val="en-nz" w:eastAsia="en-nz" w:bidi="en-nz"/>
      </w:rPr>
    </w:lvl>
    <w:lvl w:ilvl="4">
      <w:start w:val="0"/>
      <w:numFmt w:val="bullet"/>
      <w:lvlText w:val="•"/>
      <w:lvlJc w:val="left"/>
      <w:pPr>
        <w:ind w:left="2529" w:hanging="361"/>
      </w:pPr>
      <w:rPr>
        <w:rFonts w:hint="default"/>
        <w:lang w:val="en-nz" w:eastAsia="en-nz" w:bidi="en-nz"/>
      </w:rPr>
    </w:lvl>
    <w:lvl w:ilvl="5">
      <w:start w:val="0"/>
      <w:numFmt w:val="bullet"/>
      <w:lvlText w:val="•"/>
      <w:lvlJc w:val="left"/>
      <w:pPr>
        <w:ind w:left="2956" w:hanging="361"/>
      </w:pPr>
      <w:rPr>
        <w:rFonts w:hint="default"/>
        <w:lang w:val="en-nz" w:eastAsia="en-nz" w:bidi="en-nz"/>
      </w:rPr>
    </w:lvl>
    <w:lvl w:ilvl="6">
      <w:start w:val="0"/>
      <w:numFmt w:val="bullet"/>
      <w:lvlText w:val="•"/>
      <w:lvlJc w:val="left"/>
      <w:pPr>
        <w:ind w:left="3383" w:hanging="361"/>
      </w:pPr>
      <w:rPr>
        <w:rFonts w:hint="default"/>
        <w:lang w:val="en-nz" w:eastAsia="en-nz" w:bidi="en-nz"/>
      </w:rPr>
    </w:lvl>
    <w:lvl w:ilvl="7">
      <w:start w:val="0"/>
      <w:numFmt w:val="bullet"/>
      <w:lvlText w:val="•"/>
      <w:lvlJc w:val="left"/>
      <w:pPr>
        <w:ind w:left="3811" w:hanging="361"/>
      </w:pPr>
      <w:rPr>
        <w:rFonts w:hint="default"/>
        <w:lang w:val="en-nz" w:eastAsia="en-nz" w:bidi="en-nz"/>
      </w:rPr>
    </w:lvl>
    <w:lvl w:ilvl="8">
      <w:start w:val="0"/>
      <w:numFmt w:val="bullet"/>
      <w:lvlText w:val="•"/>
      <w:lvlJc w:val="left"/>
      <w:pPr>
        <w:ind w:left="4238" w:hanging="361"/>
      </w:pPr>
      <w:rPr>
        <w:rFonts w:hint="default"/>
        <w:lang w:val="en-nz" w:eastAsia="en-nz" w:bidi="en-nz"/>
      </w:rPr>
    </w:lvl>
  </w:abstractNum>
  <w:abstractNum w:abstractNumId="17">
    <w:multiLevelType w:val="hybridMultilevel"/>
    <w:lvl w:ilvl="0">
      <w:start w:val="1"/>
      <w:numFmt w:val="lowerLetter"/>
      <w:lvlText w:val="%1."/>
      <w:lvlJc w:val="left"/>
      <w:pPr>
        <w:ind w:left="467" w:hanging="360"/>
        <w:jc w:val="left"/>
      </w:pPr>
      <w:rPr>
        <w:rFonts w:hint="default" w:ascii="Arial" w:hAnsi="Arial" w:eastAsia="Arial" w:cs="Arial"/>
        <w:spacing w:val="-4"/>
        <w:w w:val="99"/>
        <w:sz w:val="18"/>
        <w:szCs w:val="18"/>
        <w:lang w:val="en-nz" w:eastAsia="en-nz" w:bidi="en-nz"/>
      </w:rPr>
    </w:lvl>
    <w:lvl w:ilvl="1">
      <w:start w:val="0"/>
      <w:numFmt w:val="bullet"/>
      <w:lvlText w:val="•"/>
      <w:lvlJc w:val="left"/>
      <w:pPr>
        <w:ind w:left="923" w:hanging="360"/>
      </w:pPr>
      <w:rPr>
        <w:rFonts w:hint="default"/>
        <w:lang w:val="en-nz" w:eastAsia="en-nz" w:bidi="en-nz"/>
      </w:rPr>
    </w:lvl>
    <w:lvl w:ilvl="2">
      <w:start w:val="0"/>
      <w:numFmt w:val="bullet"/>
      <w:lvlText w:val="•"/>
      <w:lvlJc w:val="left"/>
      <w:pPr>
        <w:ind w:left="1386" w:hanging="360"/>
      </w:pPr>
      <w:rPr>
        <w:rFonts w:hint="default"/>
        <w:lang w:val="en-nz" w:eastAsia="en-nz" w:bidi="en-nz"/>
      </w:rPr>
    </w:lvl>
    <w:lvl w:ilvl="3">
      <w:start w:val="0"/>
      <w:numFmt w:val="bullet"/>
      <w:lvlText w:val="•"/>
      <w:lvlJc w:val="left"/>
      <w:pPr>
        <w:ind w:left="1849" w:hanging="360"/>
      </w:pPr>
      <w:rPr>
        <w:rFonts w:hint="default"/>
        <w:lang w:val="en-nz" w:eastAsia="en-nz" w:bidi="en-nz"/>
      </w:rPr>
    </w:lvl>
    <w:lvl w:ilvl="4">
      <w:start w:val="0"/>
      <w:numFmt w:val="bullet"/>
      <w:lvlText w:val="•"/>
      <w:lvlJc w:val="left"/>
      <w:pPr>
        <w:ind w:left="2313" w:hanging="360"/>
      </w:pPr>
      <w:rPr>
        <w:rFonts w:hint="default"/>
        <w:lang w:val="en-nz" w:eastAsia="en-nz" w:bidi="en-nz"/>
      </w:rPr>
    </w:lvl>
    <w:lvl w:ilvl="5">
      <w:start w:val="0"/>
      <w:numFmt w:val="bullet"/>
      <w:lvlText w:val="•"/>
      <w:lvlJc w:val="left"/>
      <w:pPr>
        <w:ind w:left="2776" w:hanging="360"/>
      </w:pPr>
      <w:rPr>
        <w:rFonts w:hint="default"/>
        <w:lang w:val="en-nz" w:eastAsia="en-nz" w:bidi="en-nz"/>
      </w:rPr>
    </w:lvl>
    <w:lvl w:ilvl="6">
      <w:start w:val="0"/>
      <w:numFmt w:val="bullet"/>
      <w:lvlText w:val="•"/>
      <w:lvlJc w:val="left"/>
      <w:pPr>
        <w:ind w:left="3239" w:hanging="360"/>
      </w:pPr>
      <w:rPr>
        <w:rFonts w:hint="default"/>
        <w:lang w:val="en-nz" w:eastAsia="en-nz" w:bidi="en-nz"/>
      </w:rPr>
    </w:lvl>
    <w:lvl w:ilvl="7">
      <w:start w:val="0"/>
      <w:numFmt w:val="bullet"/>
      <w:lvlText w:val="•"/>
      <w:lvlJc w:val="left"/>
      <w:pPr>
        <w:ind w:left="3703" w:hanging="360"/>
      </w:pPr>
      <w:rPr>
        <w:rFonts w:hint="default"/>
        <w:lang w:val="en-nz" w:eastAsia="en-nz" w:bidi="en-nz"/>
      </w:rPr>
    </w:lvl>
    <w:lvl w:ilvl="8">
      <w:start w:val="0"/>
      <w:numFmt w:val="bullet"/>
      <w:lvlText w:val="•"/>
      <w:lvlJc w:val="left"/>
      <w:pPr>
        <w:ind w:left="4166" w:hanging="360"/>
      </w:pPr>
      <w:rPr>
        <w:rFonts w:hint="default"/>
        <w:lang w:val="en-nz" w:eastAsia="en-nz" w:bidi="en-nz"/>
      </w:rPr>
    </w:lvl>
  </w:abstractNum>
  <w:abstractNum w:abstractNumId="16">
    <w:multiLevelType w:val="hybridMultilevel"/>
    <w:lvl w:ilvl="0">
      <w:start w:val="1"/>
      <w:numFmt w:val="lowerLetter"/>
      <w:lvlText w:val="(%1)"/>
      <w:lvlJc w:val="left"/>
      <w:pPr>
        <w:ind w:left="828" w:hanging="361"/>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1247" w:hanging="361"/>
      </w:pPr>
      <w:rPr>
        <w:rFonts w:hint="default"/>
        <w:lang w:val="en-nz" w:eastAsia="en-nz" w:bidi="en-nz"/>
      </w:rPr>
    </w:lvl>
    <w:lvl w:ilvl="2">
      <w:start w:val="0"/>
      <w:numFmt w:val="bullet"/>
      <w:lvlText w:val="•"/>
      <w:lvlJc w:val="left"/>
      <w:pPr>
        <w:ind w:left="1674" w:hanging="361"/>
      </w:pPr>
      <w:rPr>
        <w:rFonts w:hint="default"/>
        <w:lang w:val="en-nz" w:eastAsia="en-nz" w:bidi="en-nz"/>
      </w:rPr>
    </w:lvl>
    <w:lvl w:ilvl="3">
      <w:start w:val="0"/>
      <w:numFmt w:val="bullet"/>
      <w:lvlText w:val="•"/>
      <w:lvlJc w:val="left"/>
      <w:pPr>
        <w:ind w:left="2101" w:hanging="361"/>
      </w:pPr>
      <w:rPr>
        <w:rFonts w:hint="default"/>
        <w:lang w:val="en-nz" w:eastAsia="en-nz" w:bidi="en-nz"/>
      </w:rPr>
    </w:lvl>
    <w:lvl w:ilvl="4">
      <w:start w:val="0"/>
      <w:numFmt w:val="bullet"/>
      <w:lvlText w:val="•"/>
      <w:lvlJc w:val="left"/>
      <w:pPr>
        <w:ind w:left="2529" w:hanging="361"/>
      </w:pPr>
      <w:rPr>
        <w:rFonts w:hint="default"/>
        <w:lang w:val="en-nz" w:eastAsia="en-nz" w:bidi="en-nz"/>
      </w:rPr>
    </w:lvl>
    <w:lvl w:ilvl="5">
      <w:start w:val="0"/>
      <w:numFmt w:val="bullet"/>
      <w:lvlText w:val="•"/>
      <w:lvlJc w:val="left"/>
      <w:pPr>
        <w:ind w:left="2956" w:hanging="361"/>
      </w:pPr>
      <w:rPr>
        <w:rFonts w:hint="default"/>
        <w:lang w:val="en-nz" w:eastAsia="en-nz" w:bidi="en-nz"/>
      </w:rPr>
    </w:lvl>
    <w:lvl w:ilvl="6">
      <w:start w:val="0"/>
      <w:numFmt w:val="bullet"/>
      <w:lvlText w:val="•"/>
      <w:lvlJc w:val="left"/>
      <w:pPr>
        <w:ind w:left="3383" w:hanging="361"/>
      </w:pPr>
      <w:rPr>
        <w:rFonts w:hint="default"/>
        <w:lang w:val="en-nz" w:eastAsia="en-nz" w:bidi="en-nz"/>
      </w:rPr>
    </w:lvl>
    <w:lvl w:ilvl="7">
      <w:start w:val="0"/>
      <w:numFmt w:val="bullet"/>
      <w:lvlText w:val="•"/>
      <w:lvlJc w:val="left"/>
      <w:pPr>
        <w:ind w:left="3811" w:hanging="361"/>
      </w:pPr>
      <w:rPr>
        <w:rFonts w:hint="default"/>
        <w:lang w:val="en-nz" w:eastAsia="en-nz" w:bidi="en-nz"/>
      </w:rPr>
    </w:lvl>
    <w:lvl w:ilvl="8">
      <w:start w:val="0"/>
      <w:numFmt w:val="bullet"/>
      <w:lvlText w:val="•"/>
      <w:lvlJc w:val="left"/>
      <w:pPr>
        <w:ind w:left="4238" w:hanging="361"/>
      </w:pPr>
      <w:rPr>
        <w:rFonts w:hint="default"/>
        <w:lang w:val="en-nz" w:eastAsia="en-nz" w:bidi="en-nz"/>
      </w:rPr>
    </w:lvl>
  </w:abstractNum>
  <w:abstractNum w:abstractNumId="15">
    <w:multiLevelType w:val="hybridMultilevel"/>
    <w:lvl w:ilvl="0">
      <w:start w:val="5"/>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1"/>
      <w:numFmt w:val="lowerRoman"/>
      <w:lvlText w:val="(%2)"/>
      <w:lvlJc w:val="left"/>
      <w:pPr>
        <w:ind w:left="1187" w:hanging="720"/>
        <w:jc w:val="left"/>
      </w:pPr>
      <w:rPr>
        <w:rFonts w:hint="default" w:ascii="Arial" w:hAnsi="Arial" w:eastAsia="Arial" w:cs="Arial"/>
        <w:spacing w:val="-3"/>
        <w:w w:val="99"/>
        <w:sz w:val="18"/>
        <w:szCs w:val="18"/>
        <w:lang w:val="en-nz" w:eastAsia="en-nz" w:bidi="en-nz"/>
      </w:rPr>
    </w:lvl>
    <w:lvl w:ilvl="2">
      <w:start w:val="0"/>
      <w:numFmt w:val="bullet"/>
      <w:lvlText w:val="•"/>
      <w:lvlJc w:val="left"/>
      <w:pPr>
        <w:ind w:left="1567" w:hanging="720"/>
      </w:pPr>
      <w:rPr>
        <w:rFonts w:hint="default"/>
        <w:lang w:val="en-nz" w:eastAsia="en-nz" w:bidi="en-nz"/>
      </w:rPr>
    </w:lvl>
    <w:lvl w:ilvl="3">
      <w:start w:val="0"/>
      <w:numFmt w:val="bullet"/>
      <w:lvlText w:val="•"/>
      <w:lvlJc w:val="left"/>
      <w:pPr>
        <w:ind w:left="1955" w:hanging="720"/>
      </w:pPr>
      <w:rPr>
        <w:rFonts w:hint="default"/>
        <w:lang w:val="en-nz" w:eastAsia="en-nz" w:bidi="en-nz"/>
      </w:rPr>
    </w:lvl>
    <w:lvl w:ilvl="4">
      <w:start w:val="0"/>
      <w:numFmt w:val="bullet"/>
      <w:lvlText w:val="•"/>
      <w:lvlJc w:val="left"/>
      <w:pPr>
        <w:ind w:left="2342" w:hanging="720"/>
      </w:pPr>
      <w:rPr>
        <w:rFonts w:hint="default"/>
        <w:lang w:val="en-nz" w:eastAsia="en-nz" w:bidi="en-nz"/>
      </w:rPr>
    </w:lvl>
    <w:lvl w:ilvl="5">
      <w:start w:val="0"/>
      <w:numFmt w:val="bullet"/>
      <w:lvlText w:val="•"/>
      <w:lvlJc w:val="left"/>
      <w:pPr>
        <w:ind w:left="2730" w:hanging="720"/>
      </w:pPr>
      <w:rPr>
        <w:rFonts w:hint="default"/>
        <w:lang w:val="en-nz" w:eastAsia="en-nz" w:bidi="en-nz"/>
      </w:rPr>
    </w:lvl>
    <w:lvl w:ilvl="6">
      <w:start w:val="0"/>
      <w:numFmt w:val="bullet"/>
      <w:lvlText w:val="•"/>
      <w:lvlJc w:val="left"/>
      <w:pPr>
        <w:ind w:left="3117" w:hanging="720"/>
      </w:pPr>
      <w:rPr>
        <w:rFonts w:hint="default"/>
        <w:lang w:val="en-nz" w:eastAsia="en-nz" w:bidi="en-nz"/>
      </w:rPr>
    </w:lvl>
    <w:lvl w:ilvl="7">
      <w:start w:val="0"/>
      <w:numFmt w:val="bullet"/>
      <w:lvlText w:val="•"/>
      <w:lvlJc w:val="left"/>
      <w:pPr>
        <w:ind w:left="3505" w:hanging="720"/>
      </w:pPr>
      <w:rPr>
        <w:rFonts w:hint="default"/>
        <w:lang w:val="en-nz" w:eastAsia="en-nz" w:bidi="en-nz"/>
      </w:rPr>
    </w:lvl>
    <w:lvl w:ilvl="8">
      <w:start w:val="0"/>
      <w:numFmt w:val="bullet"/>
      <w:lvlText w:val="•"/>
      <w:lvlJc w:val="left"/>
      <w:pPr>
        <w:ind w:left="3892" w:hanging="720"/>
      </w:pPr>
      <w:rPr>
        <w:rFonts w:hint="default"/>
        <w:lang w:val="en-nz" w:eastAsia="en-nz" w:bidi="en-nz"/>
      </w:rPr>
    </w:lvl>
  </w:abstractNum>
  <w:abstractNum w:abstractNumId="14">
    <w:multiLevelType w:val="hybridMultilevel"/>
    <w:lvl w:ilvl="0">
      <w:start w:val="1"/>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80" w:hanging="360"/>
      </w:pPr>
      <w:rPr>
        <w:rFonts w:hint="default"/>
        <w:lang w:val="en-nz" w:eastAsia="en-nz" w:bidi="en-nz"/>
      </w:rPr>
    </w:lvl>
    <w:lvl w:ilvl="2">
      <w:start w:val="0"/>
      <w:numFmt w:val="bullet"/>
      <w:lvlText w:val="•"/>
      <w:lvlJc w:val="left"/>
      <w:pPr>
        <w:ind w:left="1301" w:hanging="360"/>
      </w:pPr>
      <w:rPr>
        <w:rFonts w:hint="default"/>
        <w:lang w:val="en-nz" w:eastAsia="en-nz" w:bidi="en-nz"/>
      </w:rPr>
    </w:lvl>
    <w:lvl w:ilvl="3">
      <w:start w:val="0"/>
      <w:numFmt w:val="bullet"/>
      <w:lvlText w:val="•"/>
      <w:lvlJc w:val="left"/>
      <w:pPr>
        <w:ind w:left="1722" w:hanging="360"/>
      </w:pPr>
      <w:rPr>
        <w:rFonts w:hint="default"/>
        <w:lang w:val="en-nz" w:eastAsia="en-nz" w:bidi="en-nz"/>
      </w:rPr>
    </w:lvl>
    <w:lvl w:ilvl="4">
      <w:start w:val="0"/>
      <w:numFmt w:val="bullet"/>
      <w:lvlText w:val="•"/>
      <w:lvlJc w:val="left"/>
      <w:pPr>
        <w:ind w:left="2143" w:hanging="360"/>
      </w:pPr>
      <w:rPr>
        <w:rFonts w:hint="default"/>
        <w:lang w:val="en-nz" w:eastAsia="en-nz" w:bidi="en-nz"/>
      </w:rPr>
    </w:lvl>
    <w:lvl w:ilvl="5">
      <w:start w:val="0"/>
      <w:numFmt w:val="bullet"/>
      <w:lvlText w:val="•"/>
      <w:lvlJc w:val="left"/>
      <w:pPr>
        <w:ind w:left="2564" w:hanging="360"/>
      </w:pPr>
      <w:rPr>
        <w:rFonts w:hint="default"/>
        <w:lang w:val="en-nz" w:eastAsia="en-nz" w:bidi="en-nz"/>
      </w:rPr>
    </w:lvl>
    <w:lvl w:ilvl="6">
      <w:start w:val="0"/>
      <w:numFmt w:val="bullet"/>
      <w:lvlText w:val="•"/>
      <w:lvlJc w:val="left"/>
      <w:pPr>
        <w:ind w:left="2984" w:hanging="360"/>
      </w:pPr>
      <w:rPr>
        <w:rFonts w:hint="default"/>
        <w:lang w:val="en-nz" w:eastAsia="en-nz" w:bidi="en-nz"/>
      </w:rPr>
    </w:lvl>
    <w:lvl w:ilvl="7">
      <w:start w:val="0"/>
      <w:numFmt w:val="bullet"/>
      <w:lvlText w:val="•"/>
      <w:lvlJc w:val="left"/>
      <w:pPr>
        <w:ind w:left="3405" w:hanging="360"/>
      </w:pPr>
      <w:rPr>
        <w:rFonts w:hint="default"/>
        <w:lang w:val="en-nz" w:eastAsia="en-nz" w:bidi="en-nz"/>
      </w:rPr>
    </w:lvl>
    <w:lvl w:ilvl="8">
      <w:start w:val="0"/>
      <w:numFmt w:val="bullet"/>
      <w:lvlText w:val="•"/>
      <w:lvlJc w:val="left"/>
      <w:pPr>
        <w:ind w:left="3826" w:hanging="360"/>
      </w:pPr>
      <w:rPr>
        <w:rFonts w:hint="default"/>
        <w:lang w:val="en-nz" w:eastAsia="en-nz" w:bidi="en-nz"/>
      </w:rPr>
    </w:lvl>
  </w:abstractNum>
  <w:abstractNum w:abstractNumId="13">
    <w:multiLevelType w:val="hybridMultilevel"/>
    <w:lvl w:ilvl="0">
      <w:start w:val="1"/>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80" w:hanging="360"/>
      </w:pPr>
      <w:rPr>
        <w:rFonts w:hint="default"/>
        <w:lang w:val="en-nz" w:eastAsia="en-nz" w:bidi="en-nz"/>
      </w:rPr>
    </w:lvl>
    <w:lvl w:ilvl="2">
      <w:start w:val="0"/>
      <w:numFmt w:val="bullet"/>
      <w:lvlText w:val="•"/>
      <w:lvlJc w:val="left"/>
      <w:pPr>
        <w:ind w:left="1301" w:hanging="360"/>
      </w:pPr>
      <w:rPr>
        <w:rFonts w:hint="default"/>
        <w:lang w:val="en-nz" w:eastAsia="en-nz" w:bidi="en-nz"/>
      </w:rPr>
    </w:lvl>
    <w:lvl w:ilvl="3">
      <w:start w:val="0"/>
      <w:numFmt w:val="bullet"/>
      <w:lvlText w:val="•"/>
      <w:lvlJc w:val="left"/>
      <w:pPr>
        <w:ind w:left="1722" w:hanging="360"/>
      </w:pPr>
      <w:rPr>
        <w:rFonts w:hint="default"/>
        <w:lang w:val="en-nz" w:eastAsia="en-nz" w:bidi="en-nz"/>
      </w:rPr>
    </w:lvl>
    <w:lvl w:ilvl="4">
      <w:start w:val="0"/>
      <w:numFmt w:val="bullet"/>
      <w:lvlText w:val="•"/>
      <w:lvlJc w:val="left"/>
      <w:pPr>
        <w:ind w:left="2143" w:hanging="360"/>
      </w:pPr>
      <w:rPr>
        <w:rFonts w:hint="default"/>
        <w:lang w:val="en-nz" w:eastAsia="en-nz" w:bidi="en-nz"/>
      </w:rPr>
    </w:lvl>
    <w:lvl w:ilvl="5">
      <w:start w:val="0"/>
      <w:numFmt w:val="bullet"/>
      <w:lvlText w:val="•"/>
      <w:lvlJc w:val="left"/>
      <w:pPr>
        <w:ind w:left="2564" w:hanging="360"/>
      </w:pPr>
      <w:rPr>
        <w:rFonts w:hint="default"/>
        <w:lang w:val="en-nz" w:eastAsia="en-nz" w:bidi="en-nz"/>
      </w:rPr>
    </w:lvl>
    <w:lvl w:ilvl="6">
      <w:start w:val="0"/>
      <w:numFmt w:val="bullet"/>
      <w:lvlText w:val="•"/>
      <w:lvlJc w:val="left"/>
      <w:pPr>
        <w:ind w:left="2984" w:hanging="360"/>
      </w:pPr>
      <w:rPr>
        <w:rFonts w:hint="default"/>
        <w:lang w:val="en-nz" w:eastAsia="en-nz" w:bidi="en-nz"/>
      </w:rPr>
    </w:lvl>
    <w:lvl w:ilvl="7">
      <w:start w:val="0"/>
      <w:numFmt w:val="bullet"/>
      <w:lvlText w:val="•"/>
      <w:lvlJc w:val="left"/>
      <w:pPr>
        <w:ind w:left="3405" w:hanging="360"/>
      </w:pPr>
      <w:rPr>
        <w:rFonts w:hint="default"/>
        <w:lang w:val="en-nz" w:eastAsia="en-nz" w:bidi="en-nz"/>
      </w:rPr>
    </w:lvl>
    <w:lvl w:ilvl="8">
      <w:start w:val="0"/>
      <w:numFmt w:val="bullet"/>
      <w:lvlText w:val="•"/>
      <w:lvlJc w:val="left"/>
      <w:pPr>
        <w:ind w:left="3826" w:hanging="360"/>
      </w:pPr>
      <w:rPr>
        <w:rFonts w:hint="default"/>
        <w:lang w:val="en-nz" w:eastAsia="en-nz" w:bidi="en-nz"/>
      </w:rPr>
    </w:lvl>
  </w:abstractNum>
  <w:abstractNum w:abstractNumId="12">
    <w:multiLevelType w:val="hybridMultilevel"/>
    <w:lvl w:ilvl="0">
      <w:start w:val="1"/>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80" w:hanging="360"/>
      </w:pPr>
      <w:rPr>
        <w:rFonts w:hint="default"/>
        <w:lang w:val="en-nz" w:eastAsia="en-nz" w:bidi="en-nz"/>
      </w:rPr>
    </w:lvl>
    <w:lvl w:ilvl="2">
      <w:start w:val="0"/>
      <w:numFmt w:val="bullet"/>
      <w:lvlText w:val="•"/>
      <w:lvlJc w:val="left"/>
      <w:pPr>
        <w:ind w:left="1301" w:hanging="360"/>
      </w:pPr>
      <w:rPr>
        <w:rFonts w:hint="default"/>
        <w:lang w:val="en-nz" w:eastAsia="en-nz" w:bidi="en-nz"/>
      </w:rPr>
    </w:lvl>
    <w:lvl w:ilvl="3">
      <w:start w:val="0"/>
      <w:numFmt w:val="bullet"/>
      <w:lvlText w:val="•"/>
      <w:lvlJc w:val="left"/>
      <w:pPr>
        <w:ind w:left="1722" w:hanging="360"/>
      </w:pPr>
      <w:rPr>
        <w:rFonts w:hint="default"/>
        <w:lang w:val="en-nz" w:eastAsia="en-nz" w:bidi="en-nz"/>
      </w:rPr>
    </w:lvl>
    <w:lvl w:ilvl="4">
      <w:start w:val="0"/>
      <w:numFmt w:val="bullet"/>
      <w:lvlText w:val="•"/>
      <w:lvlJc w:val="left"/>
      <w:pPr>
        <w:ind w:left="2143" w:hanging="360"/>
      </w:pPr>
      <w:rPr>
        <w:rFonts w:hint="default"/>
        <w:lang w:val="en-nz" w:eastAsia="en-nz" w:bidi="en-nz"/>
      </w:rPr>
    </w:lvl>
    <w:lvl w:ilvl="5">
      <w:start w:val="0"/>
      <w:numFmt w:val="bullet"/>
      <w:lvlText w:val="•"/>
      <w:lvlJc w:val="left"/>
      <w:pPr>
        <w:ind w:left="2564" w:hanging="360"/>
      </w:pPr>
      <w:rPr>
        <w:rFonts w:hint="default"/>
        <w:lang w:val="en-nz" w:eastAsia="en-nz" w:bidi="en-nz"/>
      </w:rPr>
    </w:lvl>
    <w:lvl w:ilvl="6">
      <w:start w:val="0"/>
      <w:numFmt w:val="bullet"/>
      <w:lvlText w:val="•"/>
      <w:lvlJc w:val="left"/>
      <w:pPr>
        <w:ind w:left="2984" w:hanging="360"/>
      </w:pPr>
      <w:rPr>
        <w:rFonts w:hint="default"/>
        <w:lang w:val="en-nz" w:eastAsia="en-nz" w:bidi="en-nz"/>
      </w:rPr>
    </w:lvl>
    <w:lvl w:ilvl="7">
      <w:start w:val="0"/>
      <w:numFmt w:val="bullet"/>
      <w:lvlText w:val="•"/>
      <w:lvlJc w:val="left"/>
      <w:pPr>
        <w:ind w:left="3405" w:hanging="360"/>
      </w:pPr>
      <w:rPr>
        <w:rFonts w:hint="default"/>
        <w:lang w:val="en-nz" w:eastAsia="en-nz" w:bidi="en-nz"/>
      </w:rPr>
    </w:lvl>
    <w:lvl w:ilvl="8">
      <w:start w:val="0"/>
      <w:numFmt w:val="bullet"/>
      <w:lvlText w:val="•"/>
      <w:lvlJc w:val="left"/>
      <w:pPr>
        <w:ind w:left="3826" w:hanging="360"/>
      </w:pPr>
      <w:rPr>
        <w:rFonts w:hint="default"/>
        <w:lang w:val="en-nz" w:eastAsia="en-nz" w:bidi="en-nz"/>
      </w:rPr>
    </w:lvl>
  </w:abstractNum>
  <w:abstractNum w:abstractNumId="11">
    <w:multiLevelType w:val="hybridMultilevel"/>
    <w:lvl w:ilvl="0">
      <w:start w:val="1"/>
      <w:numFmt w:val="lowerLetter"/>
      <w:lvlText w:val="(%1)"/>
      <w:lvlJc w:val="left"/>
      <w:pPr>
        <w:ind w:left="465" w:hanging="372"/>
        <w:jc w:val="left"/>
      </w:pPr>
      <w:rPr>
        <w:rFonts w:hint="default" w:ascii="Arial" w:hAnsi="Arial" w:eastAsia="Arial" w:cs="Arial"/>
        <w:spacing w:val="-4"/>
        <w:w w:val="99"/>
        <w:sz w:val="18"/>
        <w:szCs w:val="18"/>
        <w:lang w:val="en-nz" w:eastAsia="en-nz" w:bidi="en-nz"/>
      </w:rPr>
    </w:lvl>
    <w:lvl w:ilvl="1">
      <w:start w:val="0"/>
      <w:numFmt w:val="bullet"/>
      <w:lvlText w:val="•"/>
      <w:lvlJc w:val="left"/>
      <w:pPr>
        <w:ind w:left="880" w:hanging="372"/>
      </w:pPr>
      <w:rPr>
        <w:rFonts w:hint="default"/>
        <w:lang w:val="en-nz" w:eastAsia="en-nz" w:bidi="en-nz"/>
      </w:rPr>
    </w:lvl>
    <w:lvl w:ilvl="2">
      <w:start w:val="0"/>
      <w:numFmt w:val="bullet"/>
      <w:lvlText w:val="•"/>
      <w:lvlJc w:val="left"/>
      <w:pPr>
        <w:ind w:left="1301" w:hanging="372"/>
      </w:pPr>
      <w:rPr>
        <w:rFonts w:hint="default"/>
        <w:lang w:val="en-nz" w:eastAsia="en-nz" w:bidi="en-nz"/>
      </w:rPr>
    </w:lvl>
    <w:lvl w:ilvl="3">
      <w:start w:val="0"/>
      <w:numFmt w:val="bullet"/>
      <w:lvlText w:val="•"/>
      <w:lvlJc w:val="left"/>
      <w:pPr>
        <w:ind w:left="1722" w:hanging="372"/>
      </w:pPr>
      <w:rPr>
        <w:rFonts w:hint="default"/>
        <w:lang w:val="en-nz" w:eastAsia="en-nz" w:bidi="en-nz"/>
      </w:rPr>
    </w:lvl>
    <w:lvl w:ilvl="4">
      <w:start w:val="0"/>
      <w:numFmt w:val="bullet"/>
      <w:lvlText w:val="•"/>
      <w:lvlJc w:val="left"/>
      <w:pPr>
        <w:ind w:left="2143" w:hanging="372"/>
      </w:pPr>
      <w:rPr>
        <w:rFonts w:hint="default"/>
        <w:lang w:val="en-nz" w:eastAsia="en-nz" w:bidi="en-nz"/>
      </w:rPr>
    </w:lvl>
    <w:lvl w:ilvl="5">
      <w:start w:val="0"/>
      <w:numFmt w:val="bullet"/>
      <w:lvlText w:val="•"/>
      <w:lvlJc w:val="left"/>
      <w:pPr>
        <w:ind w:left="2564" w:hanging="372"/>
      </w:pPr>
      <w:rPr>
        <w:rFonts w:hint="default"/>
        <w:lang w:val="en-nz" w:eastAsia="en-nz" w:bidi="en-nz"/>
      </w:rPr>
    </w:lvl>
    <w:lvl w:ilvl="6">
      <w:start w:val="0"/>
      <w:numFmt w:val="bullet"/>
      <w:lvlText w:val="•"/>
      <w:lvlJc w:val="left"/>
      <w:pPr>
        <w:ind w:left="2984" w:hanging="372"/>
      </w:pPr>
      <w:rPr>
        <w:rFonts w:hint="default"/>
        <w:lang w:val="en-nz" w:eastAsia="en-nz" w:bidi="en-nz"/>
      </w:rPr>
    </w:lvl>
    <w:lvl w:ilvl="7">
      <w:start w:val="0"/>
      <w:numFmt w:val="bullet"/>
      <w:lvlText w:val="•"/>
      <w:lvlJc w:val="left"/>
      <w:pPr>
        <w:ind w:left="3405" w:hanging="372"/>
      </w:pPr>
      <w:rPr>
        <w:rFonts w:hint="default"/>
        <w:lang w:val="en-nz" w:eastAsia="en-nz" w:bidi="en-nz"/>
      </w:rPr>
    </w:lvl>
    <w:lvl w:ilvl="8">
      <w:start w:val="0"/>
      <w:numFmt w:val="bullet"/>
      <w:lvlText w:val="•"/>
      <w:lvlJc w:val="left"/>
      <w:pPr>
        <w:ind w:left="3826" w:hanging="372"/>
      </w:pPr>
      <w:rPr>
        <w:rFonts w:hint="default"/>
        <w:lang w:val="en-nz" w:eastAsia="en-nz" w:bidi="en-nz"/>
      </w:rPr>
    </w:lvl>
  </w:abstractNum>
  <w:abstractNum w:abstractNumId="10">
    <w:multiLevelType w:val="hybridMultilevel"/>
    <w:lvl w:ilvl="0">
      <w:start w:val="1"/>
      <w:numFmt w:val="lowerLetter"/>
      <w:lvlText w:val="(%1)"/>
      <w:lvlJc w:val="left"/>
      <w:pPr>
        <w:ind w:left="465" w:hanging="322"/>
        <w:jc w:val="left"/>
      </w:pPr>
      <w:rPr>
        <w:rFonts w:hint="default" w:ascii="Arial" w:hAnsi="Arial" w:eastAsia="Arial" w:cs="Arial"/>
        <w:spacing w:val="-3"/>
        <w:w w:val="99"/>
        <w:sz w:val="18"/>
        <w:szCs w:val="18"/>
        <w:lang w:val="en-nz" w:eastAsia="en-nz" w:bidi="en-nz"/>
      </w:rPr>
    </w:lvl>
    <w:lvl w:ilvl="1">
      <w:start w:val="0"/>
      <w:numFmt w:val="bullet"/>
      <w:lvlText w:val="•"/>
      <w:lvlJc w:val="left"/>
      <w:pPr>
        <w:ind w:left="880" w:hanging="322"/>
      </w:pPr>
      <w:rPr>
        <w:rFonts w:hint="default"/>
        <w:lang w:val="en-nz" w:eastAsia="en-nz" w:bidi="en-nz"/>
      </w:rPr>
    </w:lvl>
    <w:lvl w:ilvl="2">
      <w:start w:val="0"/>
      <w:numFmt w:val="bullet"/>
      <w:lvlText w:val="•"/>
      <w:lvlJc w:val="left"/>
      <w:pPr>
        <w:ind w:left="1301" w:hanging="322"/>
      </w:pPr>
      <w:rPr>
        <w:rFonts w:hint="default"/>
        <w:lang w:val="en-nz" w:eastAsia="en-nz" w:bidi="en-nz"/>
      </w:rPr>
    </w:lvl>
    <w:lvl w:ilvl="3">
      <w:start w:val="0"/>
      <w:numFmt w:val="bullet"/>
      <w:lvlText w:val="•"/>
      <w:lvlJc w:val="left"/>
      <w:pPr>
        <w:ind w:left="1722" w:hanging="322"/>
      </w:pPr>
      <w:rPr>
        <w:rFonts w:hint="default"/>
        <w:lang w:val="en-nz" w:eastAsia="en-nz" w:bidi="en-nz"/>
      </w:rPr>
    </w:lvl>
    <w:lvl w:ilvl="4">
      <w:start w:val="0"/>
      <w:numFmt w:val="bullet"/>
      <w:lvlText w:val="•"/>
      <w:lvlJc w:val="left"/>
      <w:pPr>
        <w:ind w:left="2143" w:hanging="322"/>
      </w:pPr>
      <w:rPr>
        <w:rFonts w:hint="default"/>
        <w:lang w:val="en-nz" w:eastAsia="en-nz" w:bidi="en-nz"/>
      </w:rPr>
    </w:lvl>
    <w:lvl w:ilvl="5">
      <w:start w:val="0"/>
      <w:numFmt w:val="bullet"/>
      <w:lvlText w:val="•"/>
      <w:lvlJc w:val="left"/>
      <w:pPr>
        <w:ind w:left="2564" w:hanging="322"/>
      </w:pPr>
      <w:rPr>
        <w:rFonts w:hint="default"/>
        <w:lang w:val="en-nz" w:eastAsia="en-nz" w:bidi="en-nz"/>
      </w:rPr>
    </w:lvl>
    <w:lvl w:ilvl="6">
      <w:start w:val="0"/>
      <w:numFmt w:val="bullet"/>
      <w:lvlText w:val="•"/>
      <w:lvlJc w:val="left"/>
      <w:pPr>
        <w:ind w:left="2984" w:hanging="322"/>
      </w:pPr>
      <w:rPr>
        <w:rFonts w:hint="default"/>
        <w:lang w:val="en-nz" w:eastAsia="en-nz" w:bidi="en-nz"/>
      </w:rPr>
    </w:lvl>
    <w:lvl w:ilvl="7">
      <w:start w:val="0"/>
      <w:numFmt w:val="bullet"/>
      <w:lvlText w:val="•"/>
      <w:lvlJc w:val="left"/>
      <w:pPr>
        <w:ind w:left="3405" w:hanging="322"/>
      </w:pPr>
      <w:rPr>
        <w:rFonts w:hint="default"/>
        <w:lang w:val="en-nz" w:eastAsia="en-nz" w:bidi="en-nz"/>
      </w:rPr>
    </w:lvl>
    <w:lvl w:ilvl="8">
      <w:start w:val="0"/>
      <w:numFmt w:val="bullet"/>
      <w:lvlText w:val="•"/>
      <w:lvlJc w:val="left"/>
      <w:pPr>
        <w:ind w:left="3826" w:hanging="322"/>
      </w:pPr>
      <w:rPr>
        <w:rFonts w:hint="default"/>
        <w:lang w:val="en-nz" w:eastAsia="en-nz" w:bidi="en-nz"/>
      </w:rPr>
    </w:lvl>
  </w:abstractNum>
  <w:abstractNum w:abstractNumId="9">
    <w:multiLevelType w:val="hybridMultilevel"/>
    <w:lvl w:ilvl="0">
      <w:start w:val="1"/>
      <w:numFmt w:val="lowerLetter"/>
      <w:lvlText w:val="(%1)"/>
      <w:lvlJc w:val="left"/>
      <w:pPr>
        <w:ind w:left="474" w:hanging="372"/>
        <w:jc w:val="left"/>
      </w:pPr>
      <w:rPr>
        <w:rFonts w:hint="default" w:ascii="Arial" w:hAnsi="Arial" w:eastAsia="Arial" w:cs="Arial"/>
        <w:spacing w:val="-4"/>
        <w:w w:val="99"/>
        <w:sz w:val="18"/>
        <w:szCs w:val="18"/>
        <w:lang w:val="en-nz" w:eastAsia="en-nz" w:bidi="en-nz"/>
      </w:rPr>
    </w:lvl>
    <w:lvl w:ilvl="1">
      <w:start w:val="0"/>
      <w:numFmt w:val="bullet"/>
      <w:lvlText w:val="•"/>
      <w:lvlJc w:val="left"/>
      <w:pPr>
        <w:ind w:left="898" w:hanging="372"/>
      </w:pPr>
      <w:rPr>
        <w:rFonts w:hint="default"/>
        <w:lang w:val="en-nz" w:eastAsia="en-nz" w:bidi="en-nz"/>
      </w:rPr>
    </w:lvl>
    <w:lvl w:ilvl="2">
      <w:start w:val="0"/>
      <w:numFmt w:val="bullet"/>
      <w:lvlText w:val="•"/>
      <w:lvlJc w:val="left"/>
      <w:pPr>
        <w:ind w:left="1317" w:hanging="372"/>
      </w:pPr>
      <w:rPr>
        <w:rFonts w:hint="default"/>
        <w:lang w:val="en-nz" w:eastAsia="en-nz" w:bidi="en-nz"/>
      </w:rPr>
    </w:lvl>
    <w:lvl w:ilvl="3">
      <w:start w:val="0"/>
      <w:numFmt w:val="bullet"/>
      <w:lvlText w:val="•"/>
      <w:lvlJc w:val="left"/>
      <w:pPr>
        <w:ind w:left="1736" w:hanging="372"/>
      </w:pPr>
      <w:rPr>
        <w:rFonts w:hint="default"/>
        <w:lang w:val="en-nz" w:eastAsia="en-nz" w:bidi="en-nz"/>
      </w:rPr>
    </w:lvl>
    <w:lvl w:ilvl="4">
      <w:start w:val="0"/>
      <w:numFmt w:val="bullet"/>
      <w:lvlText w:val="•"/>
      <w:lvlJc w:val="left"/>
      <w:pPr>
        <w:ind w:left="2155" w:hanging="372"/>
      </w:pPr>
      <w:rPr>
        <w:rFonts w:hint="default"/>
        <w:lang w:val="en-nz" w:eastAsia="en-nz" w:bidi="en-nz"/>
      </w:rPr>
    </w:lvl>
    <w:lvl w:ilvl="5">
      <w:start w:val="0"/>
      <w:numFmt w:val="bullet"/>
      <w:lvlText w:val="•"/>
      <w:lvlJc w:val="left"/>
      <w:pPr>
        <w:ind w:left="2574" w:hanging="372"/>
      </w:pPr>
      <w:rPr>
        <w:rFonts w:hint="default"/>
        <w:lang w:val="en-nz" w:eastAsia="en-nz" w:bidi="en-nz"/>
      </w:rPr>
    </w:lvl>
    <w:lvl w:ilvl="6">
      <w:start w:val="0"/>
      <w:numFmt w:val="bullet"/>
      <w:lvlText w:val="•"/>
      <w:lvlJc w:val="left"/>
      <w:pPr>
        <w:ind w:left="2992" w:hanging="372"/>
      </w:pPr>
      <w:rPr>
        <w:rFonts w:hint="default"/>
        <w:lang w:val="en-nz" w:eastAsia="en-nz" w:bidi="en-nz"/>
      </w:rPr>
    </w:lvl>
    <w:lvl w:ilvl="7">
      <w:start w:val="0"/>
      <w:numFmt w:val="bullet"/>
      <w:lvlText w:val="•"/>
      <w:lvlJc w:val="left"/>
      <w:pPr>
        <w:ind w:left="3411" w:hanging="372"/>
      </w:pPr>
      <w:rPr>
        <w:rFonts w:hint="default"/>
        <w:lang w:val="en-nz" w:eastAsia="en-nz" w:bidi="en-nz"/>
      </w:rPr>
    </w:lvl>
    <w:lvl w:ilvl="8">
      <w:start w:val="0"/>
      <w:numFmt w:val="bullet"/>
      <w:lvlText w:val="•"/>
      <w:lvlJc w:val="left"/>
      <w:pPr>
        <w:ind w:left="3830" w:hanging="372"/>
      </w:pPr>
      <w:rPr>
        <w:rFonts w:hint="default"/>
        <w:lang w:val="en-nz" w:eastAsia="en-nz" w:bidi="en-nz"/>
      </w:rPr>
    </w:lvl>
  </w:abstractNum>
  <w:abstractNum w:abstractNumId="8">
    <w:multiLevelType w:val="hybridMultilevel"/>
    <w:lvl w:ilvl="0">
      <w:start w:val="1"/>
      <w:numFmt w:val="lowerLetter"/>
      <w:lvlText w:val="(%1)"/>
      <w:lvlJc w:val="left"/>
      <w:pPr>
        <w:ind w:left="453" w:hanging="322"/>
        <w:jc w:val="left"/>
      </w:pPr>
      <w:rPr>
        <w:rFonts w:hint="default" w:ascii="Arial" w:hAnsi="Arial" w:eastAsia="Arial" w:cs="Arial"/>
        <w:spacing w:val="-4"/>
        <w:w w:val="99"/>
        <w:sz w:val="18"/>
        <w:szCs w:val="18"/>
        <w:lang w:val="en-nz" w:eastAsia="en-nz" w:bidi="en-nz"/>
      </w:rPr>
    </w:lvl>
    <w:lvl w:ilvl="1">
      <w:start w:val="1"/>
      <w:numFmt w:val="lowerRoman"/>
      <w:lvlText w:val="(%2)"/>
      <w:lvlJc w:val="left"/>
      <w:pPr>
        <w:ind w:left="738" w:hanging="262"/>
        <w:jc w:val="left"/>
      </w:pPr>
      <w:rPr>
        <w:rFonts w:hint="default" w:ascii="Arial" w:hAnsi="Arial" w:eastAsia="Arial" w:cs="Arial"/>
        <w:spacing w:val="-4"/>
        <w:w w:val="99"/>
        <w:sz w:val="18"/>
        <w:szCs w:val="18"/>
        <w:lang w:val="en-nz" w:eastAsia="en-nz" w:bidi="en-nz"/>
      </w:rPr>
    </w:lvl>
    <w:lvl w:ilvl="2">
      <w:start w:val="0"/>
      <w:numFmt w:val="bullet"/>
      <w:lvlText w:val="•"/>
      <w:lvlJc w:val="left"/>
      <w:pPr>
        <w:ind w:left="1176" w:hanging="262"/>
      </w:pPr>
      <w:rPr>
        <w:rFonts w:hint="default"/>
        <w:lang w:val="en-nz" w:eastAsia="en-nz" w:bidi="en-nz"/>
      </w:rPr>
    </w:lvl>
    <w:lvl w:ilvl="3">
      <w:start w:val="0"/>
      <w:numFmt w:val="bullet"/>
      <w:lvlText w:val="•"/>
      <w:lvlJc w:val="left"/>
      <w:pPr>
        <w:ind w:left="1612" w:hanging="262"/>
      </w:pPr>
      <w:rPr>
        <w:rFonts w:hint="default"/>
        <w:lang w:val="en-nz" w:eastAsia="en-nz" w:bidi="en-nz"/>
      </w:rPr>
    </w:lvl>
    <w:lvl w:ilvl="4">
      <w:start w:val="0"/>
      <w:numFmt w:val="bullet"/>
      <w:lvlText w:val="•"/>
      <w:lvlJc w:val="left"/>
      <w:pPr>
        <w:ind w:left="2049" w:hanging="262"/>
      </w:pPr>
      <w:rPr>
        <w:rFonts w:hint="default"/>
        <w:lang w:val="en-nz" w:eastAsia="en-nz" w:bidi="en-nz"/>
      </w:rPr>
    </w:lvl>
    <w:lvl w:ilvl="5">
      <w:start w:val="0"/>
      <w:numFmt w:val="bullet"/>
      <w:lvlText w:val="•"/>
      <w:lvlJc w:val="left"/>
      <w:pPr>
        <w:ind w:left="2485" w:hanging="262"/>
      </w:pPr>
      <w:rPr>
        <w:rFonts w:hint="default"/>
        <w:lang w:val="en-nz" w:eastAsia="en-nz" w:bidi="en-nz"/>
      </w:rPr>
    </w:lvl>
    <w:lvl w:ilvl="6">
      <w:start w:val="0"/>
      <w:numFmt w:val="bullet"/>
      <w:lvlText w:val="•"/>
      <w:lvlJc w:val="left"/>
      <w:pPr>
        <w:ind w:left="2922" w:hanging="262"/>
      </w:pPr>
      <w:rPr>
        <w:rFonts w:hint="default"/>
        <w:lang w:val="en-nz" w:eastAsia="en-nz" w:bidi="en-nz"/>
      </w:rPr>
    </w:lvl>
    <w:lvl w:ilvl="7">
      <w:start w:val="0"/>
      <w:numFmt w:val="bullet"/>
      <w:lvlText w:val="•"/>
      <w:lvlJc w:val="left"/>
      <w:pPr>
        <w:ind w:left="3358" w:hanging="262"/>
      </w:pPr>
      <w:rPr>
        <w:rFonts w:hint="default"/>
        <w:lang w:val="en-nz" w:eastAsia="en-nz" w:bidi="en-nz"/>
      </w:rPr>
    </w:lvl>
    <w:lvl w:ilvl="8">
      <w:start w:val="0"/>
      <w:numFmt w:val="bullet"/>
      <w:lvlText w:val="•"/>
      <w:lvlJc w:val="left"/>
      <w:pPr>
        <w:ind w:left="3795" w:hanging="262"/>
      </w:pPr>
      <w:rPr>
        <w:rFonts w:hint="default"/>
        <w:lang w:val="en-nz" w:eastAsia="en-nz" w:bidi="en-nz"/>
      </w:rPr>
    </w:lvl>
  </w:abstractNum>
  <w:abstractNum w:abstractNumId="7">
    <w:multiLevelType w:val="hybridMultilevel"/>
    <w:lvl w:ilvl="0">
      <w:start w:val="1"/>
      <w:numFmt w:val="lowerLetter"/>
      <w:lvlText w:val="(%1)"/>
      <w:lvlJc w:val="left"/>
      <w:pPr>
        <w:ind w:left="453" w:hanging="322"/>
        <w:jc w:val="left"/>
      </w:pPr>
      <w:rPr>
        <w:rFonts w:hint="default" w:ascii="Arial" w:hAnsi="Arial" w:eastAsia="Arial" w:cs="Arial"/>
        <w:spacing w:val="-4"/>
        <w:w w:val="99"/>
        <w:sz w:val="18"/>
        <w:szCs w:val="18"/>
        <w:lang w:val="en-nz" w:eastAsia="en-nz" w:bidi="en-nz"/>
      </w:rPr>
    </w:lvl>
    <w:lvl w:ilvl="1">
      <w:start w:val="1"/>
      <w:numFmt w:val="lowerRoman"/>
      <w:lvlText w:val="(%2)"/>
      <w:lvlJc w:val="left"/>
      <w:pPr>
        <w:ind w:left="738" w:hanging="262"/>
        <w:jc w:val="left"/>
      </w:pPr>
      <w:rPr>
        <w:rFonts w:hint="default" w:ascii="Arial" w:hAnsi="Arial" w:eastAsia="Arial" w:cs="Arial"/>
        <w:spacing w:val="-4"/>
        <w:w w:val="99"/>
        <w:sz w:val="18"/>
        <w:szCs w:val="18"/>
        <w:lang w:val="en-nz" w:eastAsia="en-nz" w:bidi="en-nz"/>
      </w:rPr>
    </w:lvl>
    <w:lvl w:ilvl="2">
      <w:start w:val="0"/>
      <w:numFmt w:val="bullet"/>
      <w:lvlText w:val="•"/>
      <w:lvlJc w:val="left"/>
      <w:pPr>
        <w:ind w:left="1176" w:hanging="262"/>
      </w:pPr>
      <w:rPr>
        <w:rFonts w:hint="default"/>
        <w:lang w:val="en-nz" w:eastAsia="en-nz" w:bidi="en-nz"/>
      </w:rPr>
    </w:lvl>
    <w:lvl w:ilvl="3">
      <w:start w:val="0"/>
      <w:numFmt w:val="bullet"/>
      <w:lvlText w:val="•"/>
      <w:lvlJc w:val="left"/>
      <w:pPr>
        <w:ind w:left="1612" w:hanging="262"/>
      </w:pPr>
      <w:rPr>
        <w:rFonts w:hint="default"/>
        <w:lang w:val="en-nz" w:eastAsia="en-nz" w:bidi="en-nz"/>
      </w:rPr>
    </w:lvl>
    <w:lvl w:ilvl="4">
      <w:start w:val="0"/>
      <w:numFmt w:val="bullet"/>
      <w:lvlText w:val="•"/>
      <w:lvlJc w:val="left"/>
      <w:pPr>
        <w:ind w:left="2049" w:hanging="262"/>
      </w:pPr>
      <w:rPr>
        <w:rFonts w:hint="default"/>
        <w:lang w:val="en-nz" w:eastAsia="en-nz" w:bidi="en-nz"/>
      </w:rPr>
    </w:lvl>
    <w:lvl w:ilvl="5">
      <w:start w:val="0"/>
      <w:numFmt w:val="bullet"/>
      <w:lvlText w:val="•"/>
      <w:lvlJc w:val="left"/>
      <w:pPr>
        <w:ind w:left="2485" w:hanging="262"/>
      </w:pPr>
      <w:rPr>
        <w:rFonts w:hint="default"/>
        <w:lang w:val="en-nz" w:eastAsia="en-nz" w:bidi="en-nz"/>
      </w:rPr>
    </w:lvl>
    <w:lvl w:ilvl="6">
      <w:start w:val="0"/>
      <w:numFmt w:val="bullet"/>
      <w:lvlText w:val="•"/>
      <w:lvlJc w:val="left"/>
      <w:pPr>
        <w:ind w:left="2922" w:hanging="262"/>
      </w:pPr>
      <w:rPr>
        <w:rFonts w:hint="default"/>
        <w:lang w:val="en-nz" w:eastAsia="en-nz" w:bidi="en-nz"/>
      </w:rPr>
    </w:lvl>
    <w:lvl w:ilvl="7">
      <w:start w:val="0"/>
      <w:numFmt w:val="bullet"/>
      <w:lvlText w:val="•"/>
      <w:lvlJc w:val="left"/>
      <w:pPr>
        <w:ind w:left="3358" w:hanging="262"/>
      </w:pPr>
      <w:rPr>
        <w:rFonts w:hint="default"/>
        <w:lang w:val="en-nz" w:eastAsia="en-nz" w:bidi="en-nz"/>
      </w:rPr>
    </w:lvl>
    <w:lvl w:ilvl="8">
      <w:start w:val="0"/>
      <w:numFmt w:val="bullet"/>
      <w:lvlText w:val="•"/>
      <w:lvlJc w:val="left"/>
      <w:pPr>
        <w:ind w:left="3795" w:hanging="262"/>
      </w:pPr>
      <w:rPr>
        <w:rFonts w:hint="default"/>
        <w:lang w:val="en-nz" w:eastAsia="en-nz" w:bidi="en-nz"/>
      </w:rPr>
    </w:lvl>
  </w:abstractNum>
  <w:abstractNum w:abstractNumId="6">
    <w:multiLevelType w:val="hybridMultilevel"/>
    <w:lvl w:ilvl="0">
      <w:start w:val="1"/>
      <w:numFmt w:val="lowerLetter"/>
      <w:lvlText w:val="(%1)"/>
      <w:lvlJc w:val="left"/>
      <w:pPr>
        <w:ind w:left="424" w:hanging="271"/>
        <w:jc w:val="left"/>
      </w:pPr>
      <w:rPr>
        <w:rFonts w:hint="default" w:ascii="Arial" w:hAnsi="Arial" w:eastAsia="Arial" w:cs="Arial"/>
        <w:spacing w:val="-3"/>
        <w:w w:val="99"/>
        <w:sz w:val="18"/>
        <w:szCs w:val="18"/>
        <w:lang w:val="en-nz" w:eastAsia="en-nz" w:bidi="en-nz"/>
      </w:rPr>
    </w:lvl>
    <w:lvl w:ilvl="1">
      <w:start w:val="0"/>
      <w:numFmt w:val="bullet"/>
      <w:lvlText w:val="•"/>
      <w:lvlJc w:val="left"/>
      <w:pPr>
        <w:ind w:left="844" w:hanging="271"/>
      </w:pPr>
      <w:rPr>
        <w:rFonts w:hint="default"/>
        <w:lang w:val="en-nz" w:eastAsia="en-nz" w:bidi="en-nz"/>
      </w:rPr>
    </w:lvl>
    <w:lvl w:ilvl="2">
      <w:start w:val="0"/>
      <w:numFmt w:val="bullet"/>
      <w:lvlText w:val="•"/>
      <w:lvlJc w:val="left"/>
      <w:pPr>
        <w:ind w:left="1269" w:hanging="271"/>
      </w:pPr>
      <w:rPr>
        <w:rFonts w:hint="default"/>
        <w:lang w:val="en-nz" w:eastAsia="en-nz" w:bidi="en-nz"/>
      </w:rPr>
    </w:lvl>
    <w:lvl w:ilvl="3">
      <w:start w:val="0"/>
      <w:numFmt w:val="bullet"/>
      <w:lvlText w:val="•"/>
      <w:lvlJc w:val="left"/>
      <w:pPr>
        <w:ind w:left="1694" w:hanging="271"/>
      </w:pPr>
      <w:rPr>
        <w:rFonts w:hint="default"/>
        <w:lang w:val="en-nz" w:eastAsia="en-nz" w:bidi="en-nz"/>
      </w:rPr>
    </w:lvl>
    <w:lvl w:ilvl="4">
      <w:start w:val="0"/>
      <w:numFmt w:val="bullet"/>
      <w:lvlText w:val="•"/>
      <w:lvlJc w:val="left"/>
      <w:pPr>
        <w:ind w:left="2119" w:hanging="271"/>
      </w:pPr>
      <w:rPr>
        <w:rFonts w:hint="default"/>
        <w:lang w:val="en-nz" w:eastAsia="en-nz" w:bidi="en-nz"/>
      </w:rPr>
    </w:lvl>
    <w:lvl w:ilvl="5">
      <w:start w:val="0"/>
      <w:numFmt w:val="bullet"/>
      <w:lvlText w:val="•"/>
      <w:lvlJc w:val="left"/>
      <w:pPr>
        <w:ind w:left="2544" w:hanging="271"/>
      </w:pPr>
      <w:rPr>
        <w:rFonts w:hint="default"/>
        <w:lang w:val="en-nz" w:eastAsia="en-nz" w:bidi="en-nz"/>
      </w:rPr>
    </w:lvl>
    <w:lvl w:ilvl="6">
      <w:start w:val="0"/>
      <w:numFmt w:val="bullet"/>
      <w:lvlText w:val="•"/>
      <w:lvlJc w:val="left"/>
      <w:pPr>
        <w:ind w:left="2968" w:hanging="271"/>
      </w:pPr>
      <w:rPr>
        <w:rFonts w:hint="default"/>
        <w:lang w:val="en-nz" w:eastAsia="en-nz" w:bidi="en-nz"/>
      </w:rPr>
    </w:lvl>
    <w:lvl w:ilvl="7">
      <w:start w:val="0"/>
      <w:numFmt w:val="bullet"/>
      <w:lvlText w:val="•"/>
      <w:lvlJc w:val="left"/>
      <w:pPr>
        <w:ind w:left="3393" w:hanging="271"/>
      </w:pPr>
      <w:rPr>
        <w:rFonts w:hint="default"/>
        <w:lang w:val="en-nz" w:eastAsia="en-nz" w:bidi="en-nz"/>
      </w:rPr>
    </w:lvl>
    <w:lvl w:ilvl="8">
      <w:start w:val="0"/>
      <w:numFmt w:val="bullet"/>
      <w:lvlText w:val="•"/>
      <w:lvlJc w:val="left"/>
      <w:pPr>
        <w:ind w:left="3818" w:hanging="271"/>
      </w:pPr>
      <w:rPr>
        <w:rFonts w:hint="default"/>
        <w:lang w:val="en-nz" w:eastAsia="en-nz" w:bidi="en-nz"/>
      </w:rPr>
    </w:lvl>
  </w:abstractNum>
  <w:abstractNum w:abstractNumId="5">
    <w:multiLevelType w:val="hybridMultilevel"/>
    <w:lvl w:ilvl="0">
      <w:start w:val="1"/>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80" w:hanging="360"/>
      </w:pPr>
      <w:rPr>
        <w:rFonts w:hint="default"/>
        <w:lang w:val="en-nz" w:eastAsia="en-nz" w:bidi="en-nz"/>
      </w:rPr>
    </w:lvl>
    <w:lvl w:ilvl="2">
      <w:start w:val="0"/>
      <w:numFmt w:val="bullet"/>
      <w:lvlText w:val="•"/>
      <w:lvlJc w:val="left"/>
      <w:pPr>
        <w:ind w:left="1301" w:hanging="360"/>
      </w:pPr>
      <w:rPr>
        <w:rFonts w:hint="default"/>
        <w:lang w:val="en-nz" w:eastAsia="en-nz" w:bidi="en-nz"/>
      </w:rPr>
    </w:lvl>
    <w:lvl w:ilvl="3">
      <w:start w:val="0"/>
      <w:numFmt w:val="bullet"/>
      <w:lvlText w:val="•"/>
      <w:lvlJc w:val="left"/>
      <w:pPr>
        <w:ind w:left="1722" w:hanging="360"/>
      </w:pPr>
      <w:rPr>
        <w:rFonts w:hint="default"/>
        <w:lang w:val="en-nz" w:eastAsia="en-nz" w:bidi="en-nz"/>
      </w:rPr>
    </w:lvl>
    <w:lvl w:ilvl="4">
      <w:start w:val="0"/>
      <w:numFmt w:val="bullet"/>
      <w:lvlText w:val="•"/>
      <w:lvlJc w:val="left"/>
      <w:pPr>
        <w:ind w:left="2143" w:hanging="360"/>
      </w:pPr>
      <w:rPr>
        <w:rFonts w:hint="default"/>
        <w:lang w:val="en-nz" w:eastAsia="en-nz" w:bidi="en-nz"/>
      </w:rPr>
    </w:lvl>
    <w:lvl w:ilvl="5">
      <w:start w:val="0"/>
      <w:numFmt w:val="bullet"/>
      <w:lvlText w:val="•"/>
      <w:lvlJc w:val="left"/>
      <w:pPr>
        <w:ind w:left="2564" w:hanging="360"/>
      </w:pPr>
      <w:rPr>
        <w:rFonts w:hint="default"/>
        <w:lang w:val="en-nz" w:eastAsia="en-nz" w:bidi="en-nz"/>
      </w:rPr>
    </w:lvl>
    <w:lvl w:ilvl="6">
      <w:start w:val="0"/>
      <w:numFmt w:val="bullet"/>
      <w:lvlText w:val="•"/>
      <w:lvlJc w:val="left"/>
      <w:pPr>
        <w:ind w:left="2984" w:hanging="360"/>
      </w:pPr>
      <w:rPr>
        <w:rFonts w:hint="default"/>
        <w:lang w:val="en-nz" w:eastAsia="en-nz" w:bidi="en-nz"/>
      </w:rPr>
    </w:lvl>
    <w:lvl w:ilvl="7">
      <w:start w:val="0"/>
      <w:numFmt w:val="bullet"/>
      <w:lvlText w:val="•"/>
      <w:lvlJc w:val="left"/>
      <w:pPr>
        <w:ind w:left="3405" w:hanging="360"/>
      </w:pPr>
      <w:rPr>
        <w:rFonts w:hint="default"/>
        <w:lang w:val="en-nz" w:eastAsia="en-nz" w:bidi="en-nz"/>
      </w:rPr>
    </w:lvl>
    <w:lvl w:ilvl="8">
      <w:start w:val="0"/>
      <w:numFmt w:val="bullet"/>
      <w:lvlText w:val="•"/>
      <w:lvlJc w:val="left"/>
      <w:pPr>
        <w:ind w:left="3826" w:hanging="360"/>
      </w:pPr>
      <w:rPr>
        <w:rFonts w:hint="default"/>
        <w:lang w:val="en-nz" w:eastAsia="en-nz" w:bidi="en-nz"/>
      </w:rPr>
    </w:lvl>
  </w:abstractNum>
  <w:abstractNum w:abstractNumId="4">
    <w:multiLevelType w:val="hybridMultilevel"/>
    <w:lvl w:ilvl="0">
      <w:start w:val="1"/>
      <w:numFmt w:val="lowerLetter"/>
      <w:lvlText w:val="(%1)"/>
      <w:lvlJc w:val="left"/>
      <w:pPr>
        <w:ind w:left="467"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88" w:hanging="360"/>
      </w:pPr>
      <w:rPr>
        <w:rFonts w:hint="default"/>
        <w:lang w:val="en-nz" w:eastAsia="en-nz" w:bidi="en-nz"/>
      </w:rPr>
    </w:lvl>
    <w:lvl w:ilvl="2">
      <w:start w:val="0"/>
      <w:numFmt w:val="bullet"/>
      <w:lvlText w:val="•"/>
      <w:lvlJc w:val="left"/>
      <w:pPr>
        <w:ind w:left="1316" w:hanging="360"/>
      </w:pPr>
      <w:rPr>
        <w:rFonts w:hint="default"/>
        <w:lang w:val="en-nz" w:eastAsia="en-nz" w:bidi="en-nz"/>
      </w:rPr>
    </w:lvl>
    <w:lvl w:ilvl="3">
      <w:start w:val="0"/>
      <w:numFmt w:val="bullet"/>
      <w:lvlText w:val="•"/>
      <w:lvlJc w:val="left"/>
      <w:pPr>
        <w:ind w:left="1744" w:hanging="360"/>
      </w:pPr>
      <w:rPr>
        <w:rFonts w:hint="default"/>
        <w:lang w:val="en-nz" w:eastAsia="en-nz" w:bidi="en-nz"/>
      </w:rPr>
    </w:lvl>
    <w:lvl w:ilvl="4">
      <w:start w:val="0"/>
      <w:numFmt w:val="bullet"/>
      <w:lvlText w:val="•"/>
      <w:lvlJc w:val="left"/>
      <w:pPr>
        <w:ind w:left="2172" w:hanging="360"/>
      </w:pPr>
      <w:rPr>
        <w:rFonts w:hint="default"/>
        <w:lang w:val="en-nz" w:eastAsia="en-nz" w:bidi="en-nz"/>
      </w:rPr>
    </w:lvl>
    <w:lvl w:ilvl="5">
      <w:start w:val="0"/>
      <w:numFmt w:val="bullet"/>
      <w:lvlText w:val="•"/>
      <w:lvlJc w:val="left"/>
      <w:pPr>
        <w:ind w:left="2600" w:hanging="360"/>
      </w:pPr>
      <w:rPr>
        <w:rFonts w:hint="default"/>
        <w:lang w:val="en-nz" w:eastAsia="en-nz" w:bidi="en-nz"/>
      </w:rPr>
    </w:lvl>
    <w:lvl w:ilvl="6">
      <w:start w:val="0"/>
      <w:numFmt w:val="bullet"/>
      <w:lvlText w:val="•"/>
      <w:lvlJc w:val="left"/>
      <w:pPr>
        <w:ind w:left="3028" w:hanging="360"/>
      </w:pPr>
      <w:rPr>
        <w:rFonts w:hint="default"/>
        <w:lang w:val="en-nz" w:eastAsia="en-nz" w:bidi="en-nz"/>
      </w:rPr>
    </w:lvl>
    <w:lvl w:ilvl="7">
      <w:start w:val="0"/>
      <w:numFmt w:val="bullet"/>
      <w:lvlText w:val="•"/>
      <w:lvlJc w:val="left"/>
      <w:pPr>
        <w:ind w:left="3456" w:hanging="360"/>
      </w:pPr>
      <w:rPr>
        <w:rFonts w:hint="default"/>
        <w:lang w:val="en-nz" w:eastAsia="en-nz" w:bidi="en-nz"/>
      </w:rPr>
    </w:lvl>
    <w:lvl w:ilvl="8">
      <w:start w:val="0"/>
      <w:numFmt w:val="bullet"/>
      <w:lvlText w:val="•"/>
      <w:lvlJc w:val="left"/>
      <w:pPr>
        <w:ind w:left="3884" w:hanging="360"/>
      </w:pPr>
      <w:rPr>
        <w:rFonts w:hint="default"/>
        <w:lang w:val="en-nz" w:eastAsia="en-nz" w:bidi="en-nz"/>
      </w:rPr>
    </w:lvl>
  </w:abstractNum>
  <w:abstractNum w:abstractNumId="3">
    <w:multiLevelType w:val="hybridMultilevel"/>
    <w:lvl w:ilvl="0">
      <w:start w:val="1"/>
      <w:numFmt w:val="lowerLetter"/>
      <w:lvlText w:val="(%1)"/>
      <w:lvlJc w:val="left"/>
      <w:pPr>
        <w:ind w:left="469"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07" w:hanging="360"/>
      </w:pPr>
      <w:rPr>
        <w:rFonts w:hint="default"/>
        <w:lang w:val="en-nz" w:eastAsia="en-nz" w:bidi="en-nz"/>
      </w:rPr>
    </w:lvl>
    <w:lvl w:ilvl="2">
      <w:start w:val="0"/>
      <w:numFmt w:val="bullet"/>
      <w:lvlText w:val="•"/>
      <w:lvlJc w:val="left"/>
      <w:pPr>
        <w:ind w:left="1154" w:hanging="360"/>
      </w:pPr>
      <w:rPr>
        <w:rFonts w:hint="default"/>
        <w:lang w:val="en-nz" w:eastAsia="en-nz" w:bidi="en-nz"/>
      </w:rPr>
    </w:lvl>
    <w:lvl w:ilvl="3">
      <w:start w:val="0"/>
      <w:numFmt w:val="bullet"/>
      <w:lvlText w:val="•"/>
      <w:lvlJc w:val="left"/>
      <w:pPr>
        <w:ind w:left="1501" w:hanging="360"/>
      </w:pPr>
      <w:rPr>
        <w:rFonts w:hint="default"/>
        <w:lang w:val="en-nz" w:eastAsia="en-nz" w:bidi="en-nz"/>
      </w:rPr>
    </w:lvl>
    <w:lvl w:ilvl="4">
      <w:start w:val="0"/>
      <w:numFmt w:val="bullet"/>
      <w:lvlText w:val="•"/>
      <w:lvlJc w:val="left"/>
      <w:pPr>
        <w:ind w:left="1848" w:hanging="360"/>
      </w:pPr>
      <w:rPr>
        <w:rFonts w:hint="default"/>
        <w:lang w:val="en-nz" w:eastAsia="en-nz" w:bidi="en-nz"/>
      </w:rPr>
    </w:lvl>
    <w:lvl w:ilvl="5">
      <w:start w:val="0"/>
      <w:numFmt w:val="bullet"/>
      <w:lvlText w:val="•"/>
      <w:lvlJc w:val="left"/>
      <w:pPr>
        <w:ind w:left="2196" w:hanging="360"/>
      </w:pPr>
      <w:rPr>
        <w:rFonts w:hint="default"/>
        <w:lang w:val="en-nz" w:eastAsia="en-nz" w:bidi="en-nz"/>
      </w:rPr>
    </w:lvl>
    <w:lvl w:ilvl="6">
      <w:start w:val="0"/>
      <w:numFmt w:val="bullet"/>
      <w:lvlText w:val="•"/>
      <w:lvlJc w:val="left"/>
      <w:pPr>
        <w:ind w:left="2543" w:hanging="360"/>
      </w:pPr>
      <w:rPr>
        <w:rFonts w:hint="default"/>
        <w:lang w:val="en-nz" w:eastAsia="en-nz" w:bidi="en-nz"/>
      </w:rPr>
    </w:lvl>
    <w:lvl w:ilvl="7">
      <w:start w:val="0"/>
      <w:numFmt w:val="bullet"/>
      <w:lvlText w:val="•"/>
      <w:lvlJc w:val="left"/>
      <w:pPr>
        <w:ind w:left="2890" w:hanging="360"/>
      </w:pPr>
      <w:rPr>
        <w:rFonts w:hint="default"/>
        <w:lang w:val="en-nz" w:eastAsia="en-nz" w:bidi="en-nz"/>
      </w:rPr>
    </w:lvl>
    <w:lvl w:ilvl="8">
      <w:start w:val="0"/>
      <w:numFmt w:val="bullet"/>
      <w:lvlText w:val="•"/>
      <w:lvlJc w:val="left"/>
      <w:pPr>
        <w:ind w:left="3237" w:hanging="360"/>
      </w:pPr>
      <w:rPr>
        <w:rFonts w:hint="default"/>
        <w:lang w:val="en-nz" w:eastAsia="en-nz" w:bidi="en-nz"/>
      </w:rPr>
    </w:lvl>
  </w:abstractNum>
  <w:abstractNum w:abstractNumId="2">
    <w:multiLevelType w:val="hybridMultilevel"/>
    <w:lvl w:ilvl="0">
      <w:start w:val="1"/>
      <w:numFmt w:val="lowerLetter"/>
      <w:lvlText w:val="(%1)"/>
      <w:lvlJc w:val="left"/>
      <w:pPr>
        <w:ind w:left="469" w:hanging="360"/>
        <w:jc w:val="left"/>
      </w:pPr>
      <w:rPr>
        <w:rFonts w:hint="default" w:ascii="Arial" w:hAnsi="Arial" w:eastAsia="Arial" w:cs="Arial"/>
        <w:spacing w:val="-11"/>
        <w:w w:val="99"/>
        <w:sz w:val="18"/>
        <w:szCs w:val="18"/>
        <w:lang w:val="en-nz" w:eastAsia="en-nz" w:bidi="en-nz"/>
      </w:rPr>
    </w:lvl>
    <w:lvl w:ilvl="1">
      <w:start w:val="0"/>
      <w:numFmt w:val="bullet"/>
      <w:lvlText w:val="•"/>
      <w:lvlJc w:val="left"/>
      <w:pPr>
        <w:ind w:left="807" w:hanging="360"/>
      </w:pPr>
      <w:rPr>
        <w:rFonts w:hint="default"/>
        <w:lang w:val="en-nz" w:eastAsia="en-nz" w:bidi="en-nz"/>
      </w:rPr>
    </w:lvl>
    <w:lvl w:ilvl="2">
      <w:start w:val="0"/>
      <w:numFmt w:val="bullet"/>
      <w:lvlText w:val="•"/>
      <w:lvlJc w:val="left"/>
      <w:pPr>
        <w:ind w:left="1154" w:hanging="360"/>
      </w:pPr>
      <w:rPr>
        <w:rFonts w:hint="default"/>
        <w:lang w:val="en-nz" w:eastAsia="en-nz" w:bidi="en-nz"/>
      </w:rPr>
    </w:lvl>
    <w:lvl w:ilvl="3">
      <w:start w:val="0"/>
      <w:numFmt w:val="bullet"/>
      <w:lvlText w:val="•"/>
      <w:lvlJc w:val="left"/>
      <w:pPr>
        <w:ind w:left="1501" w:hanging="360"/>
      </w:pPr>
      <w:rPr>
        <w:rFonts w:hint="default"/>
        <w:lang w:val="en-nz" w:eastAsia="en-nz" w:bidi="en-nz"/>
      </w:rPr>
    </w:lvl>
    <w:lvl w:ilvl="4">
      <w:start w:val="0"/>
      <w:numFmt w:val="bullet"/>
      <w:lvlText w:val="•"/>
      <w:lvlJc w:val="left"/>
      <w:pPr>
        <w:ind w:left="1848" w:hanging="360"/>
      </w:pPr>
      <w:rPr>
        <w:rFonts w:hint="default"/>
        <w:lang w:val="en-nz" w:eastAsia="en-nz" w:bidi="en-nz"/>
      </w:rPr>
    </w:lvl>
    <w:lvl w:ilvl="5">
      <w:start w:val="0"/>
      <w:numFmt w:val="bullet"/>
      <w:lvlText w:val="•"/>
      <w:lvlJc w:val="left"/>
      <w:pPr>
        <w:ind w:left="2196" w:hanging="360"/>
      </w:pPr>
      <w:rPr>
        <w:rFonts w:hint="default"/>
        <w:lang w:val="en-nz" w:eastAsia="en-nz" w:bidi="en-nz"/>
      </w:rPr>
    </w:lvl>
    <w:lvl w:ilvl="6">
      <w:start w:val="0"/>
      <w:numFmt w:val="bullet"/>
      <w:lvlText w:val="•"/>
      <w:lvlJc w:val="left"/>
      <w:pPr>
        <w:ind w:left="2543" w:hanging="360"/>
      </w:pPr>
      <w:rPr>
        <w:rFonts w:hint="default"/>
        <w:lang w:val="en-nz" w:eastAsia="en-nz" w:bidi="en-nz"/>
      </w:rPr>
    </w:lvl>
    <w:lvl w:ilvl="7">
      <w:start w:val="0"/>
      <w:numFmt w:val="bullet"/>
      <w:lvlText w:val="•"/>
      <w:lvlJc w:val="left"/>
      <w:pPr>
        <w:ind w:left="2890" w:hanging="360"/>
      </w:pPr>
      <w:rPr>
        <w:rFonts w:hint="default"/>
        <w:lang w:val="en-nz" w:eastAsia="en-nz" w:bidi="en-nz"/>
      </w:rPr>
    </w:lvl>
    <w:lvl w:ilvl="8">
      <w:start w:val="0"/>
      <w:numFmt w:val="bullet"/>
      <w:lvlText w:val="•"/>
      <w:lvlJc w:val="left"/>
      <w:pPr>
        <w:ind w:left="3237" w:hanging="360"/>
      </w:pPr>
      <w:rPr>
        <w:rFonts w:hint="default"/>
        <w:lang w:val="en-nz" w:eastAsia="en-nz" w:bidi="en-nz"/>
      </w:rPr>
    </w:lvl>
  </w:abstractNum>
  <w:abstractNum w:abstractNumId="1">
    <w:multiLevelType w:val="hybridMultilevel"/>
    <w:lvl w:ilvl="0">
      <w:start w:val="1"/>
      <w:numFmt w:val="decimal"/>
      <w:lvlText w:val="%1"/>
      <w:lvlJc w:val="left"/>
      <w:pPr>
        <w:ind w:left="1002" w:hanging="576"/>
        <w:jc w:val="left"/>
      </w:pPr>
      <w:rPr>
        <w:rFonts w:hint="default"/>
        <w:lang w:val="en-nz" w:eastAsia="en-nz" w:bidi="en-nz"/>
      </w:rPr>
    </w:lvl>
    <w:lvl w:ilvl="1">
      <w:start w:val="1"/>
      <w:numFmt w:val="decimal"/>
      <w:lvlText w:val="%1.%2"/>
      <w:lvlJc w:val="left"/>
      <w:pPr>
        <w:ind w:left="1002" w:hanging="576"/>
        <w:jc w:val="left"/>
      </w:pPr>
      <w:rPr>
        <w:rFonts w:hint="default" w:ascii="Arial" w:hAnsi="Arial" w:eastAsia="Arial" w:cs="Arial"/>
        <w:b/>
        <w:bCs/>
        <w:spacing w:val="-1"/>
        <w:w w:val="99"/>
        <w:sz w:val="20"/>
        <w:szCs w:val="20"/>
        <w:lang w:val="en-nz" w:eastAsia="en-nz" w:bidi="en-nz"/>
      </w:rPr>
    </w:lvl>
    <w:lvl w:ilvl="2">
      <w:start w:val="1"/>
      <w:numFmt w:val="decimal"/>
      <w:lvlText w:val="%1.%2.%3"/>
      <w:lvlJc w:val="left"/>
      <w:pPr>
        <w:ind w:left="992" w:hanging="567"/>
        <w:jc w:val="left"/>
      </w:pPr>
      <w:rPr>
        <w:rFonts w:hint="default"/>
        <w:spacing w:val="-1"/>
        <w:w w:val="99"/>
        <w:lang w:val="en-nz" w:eastAsia="en-nz" w:bidi="en-nz"/>
      </w:rPr>
    </w:lvl>
    <w:lvl w:ilvl="3">
      <w:start w:val="0"/>
      <w:numFmt w:val="bullet"/>
      <w:lvlText w:val="•"/>
      <w:lvlJc w:val="left"/>
      <w:pPr>
        <w:ind w:left="4169" w:hanging="567"/>
      </w:pPr>
      <w:rPr>
        <w:rFonts w:hint="default"/>
        <w:lang w:val="en-nz" w:eastAsia="en-nz" w:bidi="en-nz"/>
      </w:rPr>
    </w:lvl>
    <w:lvl w:ilvl="4">
      <w:start w:val="0"/>
      <w:numFmt w:val="bullet"/>
      <w:lvlText w:val="•"/>
      <w:lvlJc w:val="left"/>
      <w:pPr>
        <w:ind w:left="5226" w:hanging="567"/>
      </w:pPr>
      <w:rPr>
        <w:rFonts w:hint="default"/>
        <w:lang w:val="en-nz" w:eastAsia="en-nz" w:bidi="en-nz"/>
      </w:rPr>
    </w:lvl>
    <w:lvl w:ilvl="5">
      <w:start w:val="0"/>
      <w:numFmt w:val="bullet"/>
      <w:lvlText w:val="•"/>
      <w:lvlJc w:val="left"/>
      <w:pPr>
        <w:ind w:left="6283" w:hanging="567"/>
      </w:pPr>
      <w:rPr>
        <w:rFonts w:hint="default"/>
        <w:lang w:val="en-nz" w:eastAsia="en-nz" w:bidi="en-nz"/>
      </w:rPr>
    </w:lvl>
    <w:lvl w:ilvl="6">
      <w:start w:val="0"/>
      <w:numFmt w:val="bullet"/>
      <w:lvlText w:val="•"/>
      <w:lvlJc w:val="left"/>
      <w:pPr>
        <w:ind w:left="7339" w:hanging="567"/>
      </w:pPr>
      <w:rPr>
        <w:rFonts w:hint="default"/>
        <w:lang w:val="en-nz" w:eastAsia="en-nz" w:bidi="en-nz"/>
      </w:rPr>
    </w:lvl>
    <w:lvl w:ilvl="7">
      <w:start w:val="0"/>
      <w:numFmt w:val="bullet"/>
      <w:lvlText w:val="•"/>
      <w:lvlJc w:val="left"/>
      <w:pPr>
        <w:ind w:left="8396" w:hanging="567"/>
      </w:pPr>
      <w:rPr>
        <w:rFonts w:hint="default"/>
        <w:lang w:val="en-nz" w:eastAsia="en-nz" w:bidi="en-nz"/>
      </w:rPr>
    </w:lvl>
    <w:lvl w:ilvl="8">
      <w:start w:val="0"/>
      <w:numFmt w:val="bullet"/>
      <w:lvlText w:val="•"/>
      <w:lvlJc w:val="left"/>
      <w:pPr>
        <w:ind w:left="9453" w:hanging="567"/>
      </w:pPr>
      <w:rPr>
        <w:rFonts w:hint="default"/>
        <w:lang w:val="en-nz" w:eastAsia="en-nz" w:bidi="en-nz"/>
      </w:rPr>
    </w:lvl>
  </w:abstractNum>
  <w:abstractNum w:abstractNumId="0">
    <w:multiLevelType w:val="hybridMultilevel"/>
    <w:lvl w:ilvl="0">
      <w:start w:val="0"/>
      <w:numFmt w:val="bullet"/>
      <w:lvlText w:val=""/>
      <w:lvlJc w:val="left"/>
      <w:pPr>
        <w:ind w:left="786" w:hanging="360"/>
      </w:pPr>
      <w:rPr>
        <w:rFonts w:hint="default" w:ascii="Symbol" w:hAnsi="Symbol" w:eastAsia="Symbol" w:cs="Symbol"/>
        <w:w w:val="100"/>
        <w:sz w:val="18"/>
        <w:szCs w:val="18"/>
        <w:lang w:val="en-nz" w:eastAsia="en-nz" w:bidi="en-nz"/>
      </w:rPr>
    </w:lvl>
    <w:lvl w:ilvl="1">
      <w:start w:val="0"/>
      <w:numFmt w:val="bullet"/>
      <w:lvlText w:val="•"/>
      <w:lvlJc w:val="left"/>
      <w:pPr>
        <w:ind w:left="1858" w:hanging="360"/>
      </w:pPr>
      <w:rPr>
        <w:rFonts w:hint="default"/>
        <w:lang w:val="en-nz" w:eastAsia="en-nz" w:bidi="en-nz"/>
      </w:rPr>
    </w:lvl>
    <w:lvl w:ilvl="2">
      <w:start w:val="0"/>
      <w:numFmt w:val="bullet"/>
      <w:lvlText w:val="•"/>
      <w:lvlJc w:val="left"/>
      <w:pPr>
        <w:ind w:left="2937" w:hanging="360"/>
      </w:pPr>
      <w:rPr>
        <w:rFonts w:hint="default"/>
        <w:lang w:val="en-nz" w:eastAsia="en-nz" w:bidi="en-nz"/>
      </w:rPr>
    </w:lvl>
    <w:lvl w:ilvl="3">
      <w:start w:val="0"/>
      <w:numFmt w:val="bullet"/>
      <w:lvlText w:val="•"/>
      <w:lvlJc w:val="left"/>
      <w:pPr>
        <w:ind w:left="4015" w:hanging="360"/>
      </w:pPr>
      <w:rPr>
        <w:rFonts w:hint="default"/>
        <w:lang w:val="en-nz" w:eastAsia="en-nz" w:bidi="en-nz"/>
      </w:rPr>
    </w:lvl>
    <w:lvl w:ilvl="4">
      <w:start w:val="0"/>
      <w:numFmt w:val="bullet"/>
      <w:lvlText w:val="•"/>
      <w:lvlJc w:val="left"/>
      <w:pPr>
        <w:ind w:left="5094" w:hanging="360"/>
      </w:pPr>
      <w:rPr>
        <w:rFonts w:hint="default"/>
        <w:lang w:val="en-nz" w:eastAsia="en-nz" w:bidi="en-nz"/>
      </w:rPr>
    </w:lvl>
    <w:lvl w:ilvl="5">
      <w:start w:val="0"/>
      <w:numFmt w:val="bullet"/>
      <w:lvlText w:val="•"/>
      <w:lvlJc w:val="left"/>
      <w:pPr>
        <w:ind w:left="6173" w:hanging="360"/>
      </w:pPr>
      <w:rPr>
        <w:rFonts w:hint="default"/>
        <w:lang w:val="en-nz" w:eastAsia="en-nz" w:bidi="en-nz"/>
      </w:rPr>
    </w:lvl>
    <w:lvl w:ilvl="6">
      <w:start w:val="0"/>
      <w:numFmt w:val="bullet"/>
      <w:lvlText w:val="•"/>
      <w:lvlJc w:val="left"/>
      <w:pPr>
        <w:ind w:left="7251" w:hanging="360"/>
      </w:pPr>
      <w:rPr>
        <w:rFonts w:hint="default"/>
        <w:lang w:val="en-nz" w:eastAsia="en-nz" w:bidi="en-nz"/>
      </w:rPr>
    </w:lvl>
    <w:lvl w:ilvl="7">
      <w:start w:val="0"/>
      <w:numFmt w:val="bullet"/>
      <w:lvlText w:val="•"/>
      <w:lvlJc w:val="left"/>
      <w:pPr>
        <w:ind w:left="8330" w:hanging="360"/>
      </w:pPr>
      <w:rPr>
        <w:rFonts w:hint="default"/>
        <w:lang w:val="en-nz" w:eastAsia="en-nz" w:bidi="en-nz"/>
      </w:rPr>
    </w:lvl>
    <w:lvl w:ilvl="8">
      <w:start w:val="0"/>
      <w:numFmt w:val="bullet"/>
      <w:lvlText w:val="•"/>
      <w:lvlJc w:val="left"/>
      <w:pPr>
        <w:ind w:left="9409" w:hanging="360"/>
      </w:pPr>
      <w:rPr>
        <w:rFonts w:hint="default"/>
        <w:lang w:val="en-nz" w:eastAsia="en-nz" w:bidi="en-nz"/>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nz" w:eastAsia="en-nz" w:bidi="en-nz"/>
    </w:rPr>
  </w:style>
  <w:style w:styleId="BodyText" w:type="paragraph">
    <w:name w:val="Body Text"/>
    <w:basedOn w:val="Normal"/>
    <w:uiPriority w:val="1"/>
    <w:qFormat/>
    <w:pPr/>
    <w:rPr>
      <w:rFonts w:ascii="Arial" w:hAnsi="Arial" w:eastAsia="Arial" w:cs="Arial"/>
      <w:sz w:val="16"/>
      <w:szCs w:val="16"/>
      <w:lang w:val="en-nz" w:eastAsia="en-nz" w:bidi="en-nz"/>
    </w:rPr>
  </w:style>
  <w:style w:styleId="Heading1" w:type="paragraph">
    <w:name w:val="Heading 1"/>
    <w:basedOn w:val="Normal"/>
    <w:uiPriority w:val="1"/>
    <w:qFormat/>
    <w:pPr>
      <w:ind w:left="1002" w:hanging="576"/>
      <w:outlineLvl w:val="1"/>
    </w:pPr>
    <w:rPr>
      <w:rFonts w:ascii="Arial" w:hAnsi="Arial" w:eastAsia="Arial" w:cs="Arial"/>
      <w:b/>
      <w:bCs/>
      <w:sz w:val="20"/>
      <w:szCs w:val="20"/>
      <w:lang w:val="en-nz" w:eastAsia="en-nz" w:bidi="en-nz"/>
    </w:rPr>
  </w:style>
  <w:style w:styleId="Heading2" w:type="paragraph">
    <w:name w:val="Heading 2"/>
    <w:basedOn w:val="Normal"/>
    <w:uiPriority w:val="1"/>
    <w:qFormat/>
    <w:pPr>
      <w:ind w:left="1430" w:hanging="721"/>
      <w:outlineLvl w:val="2"/>
    </w:pPr>
    <w:rPr>
      <w:rFonts w:ascii="Arial" w:hAnsi="Arial" w:eastAsia="Arial" w:cs="Arial"/>
      <w:b/>
      <w:bCs/>
      <w:i/>
      <w:sz w:val="18"/>
      <w:szCs w:val="18"/>
      <w:lang w:val="en-nz" w:eastAsia="en-nz" w:bidi="en-nz"/>
    </w:rPr>
  </w:style>
  <w:style w:styleId="Heading3" w:type="paragraph">
    <w:name w:val="Heading 3"/>
    <w:basedOn w:val="Normal"/>
    <w:uiPriority w:val="1"/>
    <w:qFormat/>
    <w:pPr>
      <w:ind w:left="426"/>
      <w:outlineLvl w:val="3"/>
    </w:pPr>
    <w:rPr>
      <w:rFonts w:ascii="Arial" w:hAnsi="Arial" w:eastAsia="Arial" w:cs="Arial"/>
      <w:sz w:val="18"/>
      <w:szCs w:val="18"/>
      <w:lang w:val="en-nz" w:eastAsia="en-nz" w:bidi="en-nz"/>
    </w:rPr>
  </w:style>
  <w:style w:styleId="ListParagraph" w:type="paragraph">
    <w:name w:val="List Paragraph"/>
    <w:basedOn w:val="Normal"/>
    <w:uiPriority w:val="1"/>
    <w:qFormat/>
    <w:pPr>
      <w:ind w:left="1002" w:hanging="576"/>
    </w:pPr>
    <w:rPr>
      <w:rFonts w:ascii="Arial" w:hAnsi="Arial" w:eastAsia="Arial" w:cs="Arial"/>
      <w:lang w:val="en-nz" w:eastAsia="en-nz" w:bidi="en-nz"/>
    </w:rPr>
  </w:style>
  <w:style w:styleId="TableParagraph" w:type="paragraph">
    <w:name w:val="Table Paragraph"/>
    <w:basedOn w:val="Normal"/>
    <w:uiPriority w:val="1"/>
    <w:qFormat/>
    <w:pPr/>
    <w:rPr>
      <w:rFonts w:ascii="Arial" w:hAnsi="Arial" w:eastAsia="Arial" w:cs="Arial"/>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yperlink" Target="http://canterburymaps.govt.nz/"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Canterbury</dc:creator>
  <dc:title>CON499: Application for a Resource Consent Under the Resource Management Act 1991 - Microsoft Word</dc:title>
  <dcterms:created xsi:type="dcterms:W3CDTF">2019-06-12T02:14:08Z</dcterms:created>
  <dcterms:modified xsi:type="dcterms:W3CDTF">2019-06-12T02:14:08Z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2019-06-12T00:00:00Z</vt:filetime>
  </property>
</Properties>
</file>