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820C" w14:textId="77777777" w:rsidR="00B82F85" w:rsidRDefault="00B82F85" w:rsidP="00B82F85">
      <w:pPr>
        <w:rPr>
          <w:lang w:val="en-US"/>
        </w:rPr>
      </w:pPr>
      <w:r>
        <w:rPr>
          <w:lang w:val="en-US"/>
        </w:rPr>
        <w:t>Hi John,</w:t>
      </w:r>
    </w:p>
    <w:p w14:paraId="31E2C813" w14:textId="77777777" w:rsidR="00B82F85" w:rsidRDefault="00B82F85" w:rsidP="00B82F85">
      <w:pPr>
        <w:rPr>
          <w:lang w:val="en-US"/>
        </w:rPr>
      </w:pPr>
      <w:r>
        <w:rPr>
          <w:lang w:val="en-US"/>
        </w:rPr>
        <w:t> </w:t>
      </w:r>
    </w:p>
    <w:p w14:paraId="64223FD7" w14:textId="77777777" w:rsidR="00B82F85" w:rsidRDefault="00B82F85" w:rsidP="00B82F85">
      <w:pPr>
        <w:rPr>
          <w:lang w:val="en-US"/>
        </w:rPr>
      </w:pPr>
      <w:r>
        <w:rPr>
          <w:lang w:val="en-US"/>
        </w:rPr>
        <w:t xml:space="preserve">We have a </w:t>
      </w:r>
      <w:r>
        <w:rPr>
          <w:i/>
          <w:iCs/>
          <w:lang w:val="en-US"/>
        </w:rPr>
        <w:t>Compliance Certificate</w:t>
      </w:r>
      <w:r>
        <w:rPr>
          <w:lang w:val="en-US"/>
        </w:rPr>
        <w:t xml:space="preserve"> for our 10,000 </w:t>
      </w:r>
      <w:proofErr w:type="spellStart"/>
      <w:r>
        <w:rPr>
          <w:lang w:val="en-US"/>
        </w:rPr>
        <w:t>litre</w:t>
      </w:r>
      <w:proofErr w:type="spellEnd"/>
      <w:r>
        <w:rPr>
          <w:lang w:val="en-US"/>
        </w:rPr>
        <w:t xml:space="preserve"> tank which is classed as a </w:t>
      </w:r>
      <w:r>
        <w:rPr>
          <w:i/>
          <w:iCs/>
          <w:lang w:val="en-US"/>
        </w:rPr>
        <w:t>Stationary Container System</w:t>
      </w:r>
      <w:r>
        <w:rPr>
          <w:lang w:val="en-US"/>
        </w:rPr>
        <w:t>.</w:t>
      </w:r>
    </w:p>
    <w:p w14:paraId="10F80B20" w14:textId="77777777" w:rsidR="00B82F85" w:rsidRDefault="00B82F85" w:rsidP="00B82F85">
      <w:pPr>
        <w:rPr>
          <w:lang w:val="en-US"/>
        </w:rPr>
      </w:pPr>
      <w:r>
        <w:rPr>
          <w:lang w:val="en-US"/>
        </w:rPr>
        <w:t> </w:t>
      </w:r>
    </w:p>
    <w:p w14:paraId="16CF934F" w14:textId="77777777" w:rsidR="00B82F85" w:rsidRDefault="00B82F85" w:rsidP="00B82F85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Compliance Certificate is issued in accordance with regulations 6.23 and 17.91 of the Health and Safety at Work (Hazardous Substances) Regulations 2017</w:t>
      </w:r>
    </w:p>
    <w:p w14:paraId="3452F885" w14:textId="77777777" w:rsidR="00B82F85" w:rsidRDefault="00B82F85" w:rsidP="00B82F85">
      <w:pPr>
        <w:rPr>
          <w:lang w:val="en-US"/>
        </w:rPr>
      </w:pPr>
      <w:r>
        <w:rPr>
          <w:lang w:val="en-US"/>
        </w:rPr>
        <w:t> </w:t>
      </w:r>
    </w:p>
    <w:p w14:paraId="6E14D058" w14:textId="77777777" w:rsidR="00B82F85" w:rsidRDefault="00B82F85" w:rsidP="00B82F85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certificate certifies that the requirements prescribed in regulation 17.91 for a stationary container system compliance certificate have been met.</w:t>
      </w:r>
    </w:p>
    <w:p w14:paraId="2F89AB7E" w14:textId="77777777" w:rsidR="00B82F85" w:rsidRDefault="00B82F85" w:rsidP="00B82F85">
      <w:pPr>
        <w:pStyle w:val="ListParagraph"/>
        <w:rPr>
          <w:lang w:val="en-US"/>
        </w:rPr>
      </w:pPr>
      <w:r>
        <w:rPr>
          <w:lang w:val="en-US"/>
        </w:rPr>
        <w:t> </w:t>
      </w:r>
    </w:p>
    <w:p w14:paraId="4F84CD6D" w14:textId="77777777" w:rsidR="00B82F85" w:rsidRDefault="00B82F85" w:rsidP="00B82F85">
      <w:pPr>
        <w:pStyle w:val="ListParagraph"/>
        <w:ind w:left="0"/>
        <w:rPr>
          <w:lang w:val="en-US"/>
        </w:rPr>
      </w:pPr>
      <w:r>
        <w:rPr>
          <w:lang w:val="en-US"/>
        </w:rPr>
        <w:t>Here are the requirements for compliance;</w:t>
      </w:r>
    </w:p>
    <w:p w14:paraId="34C9A178" w14:textId="77777777" w:rsidR="00B82F85" w:rsidRDefault="00B82F85" w:rsidP="00B82F85">
      <w:pPr>
        <w:rPr>
          <w:lang w:val="en-US"/>
        </w:rPr>
      </w:pPr>
      <w:r>
        <w:rPr>
          <w:lang w:val="en-US"/>
        </w:rPr>
        <w:t> </w:t>
      </w:r>
    </w:p>
    <w:p w14:paraId="36444E63" w14:textId="77777777" w:rsidR="00B82F85" w:rsidRDefault="00B82F85" w:rsidP="00B82F85">
      <w:pPr>
        <w:rPr>
          <w:lang w:val="en-US"/>
        </w:rPr>
      </w:pPr>
      <w:r>
        <w:rPr>
          <w:b/>
          <w:bCs/>
          <w:lang w:val="en-US"/>
        </w:rPr>
        <w:t>17.91Requirements for compliance certificate</w:t>
      </w:r>
    </w:p>
    <w:p w14:paraId="758004FA" w14:textId="77777777" w:rsidR="00B82F85" w:rsidRDefault="00B82F85" w:rsidP="00B82F85">
      <w:pPr>
        <w:rPr>
          <w:lang w:val="en-US"/>
        </w:rPr>
      </w:pPr>
      <w:r>
        <w:rPr>
          <w:b/>
          <w:bCs/>
          <w:lang w:val="en-US"/>
        </w:rPr>
        <w:t> </w:t>
      </w:r>
    </w:p>
    <w:p w14:paraId="4B4BE2EE" w14:textId="77777777" w:rsidR="00B82F85" w:rsidRDefault="00B82F85" w:rsidP="00B82F85">
      <w:pPr>
        <w:rPr>
          <w:lang w:val="en-US"/>
        </w:rPr>
      </w:pPr>
      <w:r>
        <w:rPr>
          <w:lang w:val="en-US"/>
        </w:rPr>
        <w:t>(1)</w:t>
      </w:r>
    </w:p>
    <w:p w14:paraId="394DA4E5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A compliance certifier may issue a compliance certificate in relation to a stationary container system if satisfied that the container complies with the requirements set out in subclause (2).</w:t>
      </w:r>
    </w:p>
    <w:p w14:paraId="72BBB643" w14:textId="77777777" w:rsidR="00B82F85" w:rsidRDefault="00B82F85" w:rsidP="00B82F85">
      <w:pPr>
        <w:rPr>
          <w:lang w:val="en-US"/>
        </w:rPr>
      </w:pPr>
      <w:r>
        <w:rPr>
          <w:lang w:val="en-US"/>
        </w:rPr>
        <w:t>(2)</w:t>
      </w:r>
    </w:p>
    <w:p w14:paraId="264C16B6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The requirements are that—</w:t>
      </w:r>
    </w:p>
    <w:p w14:paraId="50100D06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(a)</w:t>
      </w:r>
    </w:p>
    <w:p w14:paraId="12D06EE8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the stationary container system is—</w:t>
      </w:r>
    </w:p>
    <w:p w14:paraId="613B77F2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</w:p>
    <w:p w14:paraId="41756B8F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suitable for service with a hazardous substance specified in the certificate, without leakage of the substance, for all reasonably foreseeable operating pressures, temperatures, stresses, and loadings; and</w:t>
      </w:r>
    </w:p>
    <w:p w14:paraId="50AC3553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(ii)</w:t>
      </w:r>
    </w:p>
    <w:p w14:paraId="79868BF6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constructed of materials that are compatible with any hazardous substance that the system is likely to contain; and</w:t>
      </w:r>
    </w:p>
    <w:p w14:paraId="39B46244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(b)</w:t>
      </w:r>
    </w:p>
    <w:p w14:paraId="582A94F5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if the system includes a stationary tank, the stationary tank complies with the requirements in this Part relating to the following:</w:t>
      </w:r>
    </w:p>
    <w:p w14:paraId="74A15511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</w:p>
    <w:p w14:paraId="6C4953C0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tank design:</w:t>
      </w:r>
    </w:p>
    <w:p w14:paraId="541EE037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(ii)</w:t>
      </w:r>
    </w:p>
    <w:p w14:paraId="3F8C7460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tank construction:</w:t>
      </w:r>
    </w:p>
    <w:p w14:paraId="0A594AEA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(iii)</w:t>
      </w:r>
    </w:p>
    <w:p w14:paraId="1E9BA3CA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tank installation:</w:t>
      </w:r>
    </w:p>
    <w:p w14:paraId="53E73960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(iv)</w:t>
      </w:r>
    </w:p>
    <w:p w14:paraId="6890EC2B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pressure management:</w:t>
      </w:r>
    </w:p>
    <w:p w14:paraId="1AC114BA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(v)</w:t>
      </w:r>
    </w:p>
    <w:p w14:paraId="7C44D4A5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emergency pressure management:</w:t>
      </w:r>
    </w:p>
    <w:p w14:paraId="779EBD2B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(vi)</w:t>
      </w:r>
    </w:p>
    <w:p w14:paraId="1FCC04F2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level indicators:</w:t>
      </w:r>
    </w:p>
    <w:p w14:paraId="70E68829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(vii)</w:t>
      </w:r>
    </w:p>
    <w:p w14:paraId="57027B56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lightning and stray current protection:</w:t>
      </w:r>
    </w:p>
    <w:p w14:paraId="1542888F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(viii)</w:t>
      </w:r>
    </w:p>
    <w:p w14:paraId="347D8228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separation:</w:t>
      </w:r>
    </w:p>
    <w:p w14:paraId="4DF718D0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(ix)</w:t>
      </w:r>
    </w:p>
    <w:p w14:paraId="1B7FCD10" w14:textId="77777777" w:rsidR="00B82F85" w:rsidRDefault="00B82F85" w:rsidP="00B82F85">
      <w:pPr>
        <w:ind w:left="720"/>
        <w:rPr>
          <w:lang w:val="en-US"/>
        </w:rPr>
      </w:pPr>
      <w:proofErr w:type="spellStart"/>
      <w:r>
        <w:rPr>
          <w:lang w:val="en-US"/>
        </w:rPr>
        <w:t>fire fighting</w:t>
      </w:r>
      <w:proofErr w:type="spellEnd"/>
      <w:r>
        <w:rPr>
          <w:lang w:val="en-US"/>
        </w:rPr>
        <w:t xml:space="preserve"> equipment and facilities:</w:t>
      </w:r>
    </w:p>
    <w:p w14:paraId="10EAAF10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lastRenderedPageBreak/>
        <w:t>(x)</w:t>
      </w:r>
    </w:p>
    <w:p w14:paraId="164AC0E5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marking:</w:t>
      </w:r>
    </w:p>
    <w:p w14:paraId="4CD6E0FD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(xi)</w:t>
      </w:r>
    </w:p>
    <w:p w14:paraId="6A8234E8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plans; and</w:t>
      </w:r>
    </w:p>
    <w:p w14:paraId="203490CF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(c)</w:t>
      </w:r>
    </w:p>
    <w:p w14:paraId="1BA41797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if the system includes a stationary tank with integral secondary containment, the stationary container system complies with </w:t>
      </w:r>
      <w:bookmarkStart w:id="0" w:name="DLM7311035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"http://www.legislation.govt.nz/regulation/public/2017/0131/latest/link.aspx?id=DLM7311035" \l "DLM7311035"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subpart 18</w:t>
      </w:r>
      <w:r>
        <w:rPr>
          <w:lang w:val="en-US"/>
        </w:rPr>
        <w:fldChar w:fldCharType="end"/>
      </w:r>
      <w:bookmarkEnd w:id="0"/>
      <w:r>
        <w:rPr>
          <w:lang w:val="en-US"/>
        </w:rPr>
        <w:t>; and</w:t>
      </w:r>
    </w:p>
    <w:p w14:paraId="0129ACCA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(d)</w:t>
      </w:r>
    </w:p>
    <w:p w14:paraId="36D665F3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if the system includes a stationary tank that contains or is to contain a class 3.1D, 6, or 8 substance that is not also a class 2, 3 (other than class 3.1D), 4, or 5 substance, the system complies with the requirements of subpart 18; and</w:t>
      </w:r>
    </w:p>
    <w:p w14:paraId="5A11E754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(e)</w:t>
      </w:r>
    </w:p>
    <w:p w14:paraId="7BE474D4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if the system includes a process container, the process container complies with subpart 8; and</w:t>
      </w:r>
    </w:p>
    <w:p w14:paraId="0662D7C3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(f)</w:t>
      </w:r>
    </w:p>
    <w:p w14:paraId="18FC194D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 xml:space="preserve">if the system includes a </w:t>
      </w:r>
      <w:proofErr w:type="spellStart"/>
      <w:r>
        <w:rPr>
          <w:lang w:val="en-US"/>
        </w:rPr>
        <w:t>vapouriser</w:t>
      </w:r>
      <w:proofErr w:type="spellEnd"/>
      <w:r>
        <w:rPr>
          <w:lang w:val="en-US"/>
        </w:rPr>
        <w:t xml:space="preserve">, the </w:t>
      </w:r>
      <w:proofErr w:type="spellStart"/>
      <w:r>
        <w:rPr>
          <w:lang w:val="en-US"/>
        </w:rPr>
        <w:t>vapouriser</w:t>
      </w:r>
      <w:proofErr w:type="spellEnd"/>
      <w:r>
        <w:rPr>
          <w:lang w:val="en-US"/>
        </w:rPr>
        <w:t xml:space="preserve"> complies with </w:t>
      </w:r>
      <w:bookmarkStart w:id="1" w:name="DLM7310983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"http://www.legislation.govt.nz/regulation/public/2017/0131/latest/link.aspx?id=DLM7310983" \l "DLM7310983"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regulation 17.56</w:t>
      </w:r>
      <w:r>
        <w:rPr>
          <w:lang w:val="en-US"/>
        </w:rPr>
        <w:fldChar w:fldCharType="end"/>
      </w:r>
      <w:bookmarkEnd w:id="1"/>
      <w:r>
        <w:rPr>
          <w:lang w:val="en-US"/>
        </w:rPr>
        <w:t>; and</w:t>
      </w:r>
    </w:p>
    <w:p w14:paraId="1A636110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(g)</w:t>
      </w:r>
    </w:p>
    <w:p w14:paraId="718F5E3A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the system complies with </w:t>
      </w:r>
      <w:bookmarkStart w:id="2" w:name="DLM7310984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"http://www.legislation.govt.nz/regulation/public/2017/0131/latest/link.aspx?id=DLM7310984" \l "DLM7310984"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subpart 11</w:t>
      </w:r>
      <w:r>
        <w:rPr>
          <w:lang w:val="en-US"/>
        </w:rPr>
        <w:fldChar w:fldCharType="end"/>
      </w:r>
      <w:bookmarkEnd w:id="2"/>
      <w:r>
        <w:rPr>
          <w:lang w:val="en-US"/>
        </w:rPr>
        <w:t>, if that subpart applies; and</w:t>
      </w:r>
    </w:p>
    <w:p w14:paraId="241ED8D9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(h)</w:t>
      </w:r>
    </w:p>
    <w:p w14:paraId="4E71C763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if the system includes a burner, the burner is—</w:t>
      </w:r>
    </w:p>
    <w:p w14:paraId="7DFAF089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</w:p>
    <w:p w14:paraId="1EEAB43A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approved in accordance with </w:t>
      </w:r>
      <w:bookmarkStart w:id="3" w:name="DLM7310996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"http://www.legislation.govt.nz/regulation/public/2017/0131/latest/link.aspx?id=DLM7310996" \l "DLM7310996"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regulation 17.67</w:t>
      </w:r>
      <w:r>
        <w:rPr>
          <w:lang w:val="en-US"/>
        </w:rPr>
        <w:fldChar w:fldCharType="end"/>
      </w:r>
      <w:bookmarkEnd w:id="3"/>
      <w:r>
        <w:rPr>
          <w:lang w:val="en-US"/>
        </w:rPr>
        <w:t>; and</w:t>
      </w:r>
    </w:p>
    <w:p w14:paraId="2D10E3AC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(ii)</w:t>
      </w:r>
    </w:p>
    <w:p w14:paraId="7BFB05B6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installed in accordance with </w:t>
      </w:r>
      <w:bookmarkStart w:id="4" w:name="DLM7310999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"http://www.legislation.govt.nz/regulation/public/2017/0131/latest/link.aspx?id=DLM7310999" \l "DLM7310999"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regulation 17.70</w:t>
      </w:r>
      <w:r>
        <w:rPr>
          <w:lang w:val="en-US"/>
        </w:rPr>
        <w:fldChar w:fldCharType="end"/>
      </w:r>
      <w:bookmarkEnd w:id="4"/>
      <w:r>
        <w:rPr>
          <w:lang w:val="en-US"/>
        </w:rPr>
        <w:t>; and</w:t>
      </w:r>
    </w:p>
    <w:p w14:paraId="68171B37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</w:p>
    <w:p w14:paraId="597BEFCF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the system’s pipework complies with requirements for—</w:t>
      </w:r>
    </w:p>
    <w:p w14:paraId="02ABC872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</w:p>
    <w:p w14:paraId="133574A4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design, construction, and installation; and</w:t>
      </w:r>
    </w:p>
    <w:p w14:paraId="04C8660A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(ii)</w:t>
      </w:r>
    </w:p>
    <w:p w14:paraId="16FF496E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operation, inspection, testing, and maintenance; and</w:t>
      </w:r>
    </w:p>
    <w:p w14:paraId="5AB0B27D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(iii)</w:t>
      </w:r>
    </w:p>
    <w:p w14:paraId="47BC41B9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installation of transfer point pipework (under </w:t>
      </w:r>
      <w:bookmarkStart w:id="5" w:name="DLM7311004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"http://www.legislation.govt.nz/regulation/public/2017/0131/latest/link.aspx?id=DLM7311004" \l "DLM7311004"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regulation 17.74</w:t>
      </w:r>
      <w:r>
        <w:rPr>
          <w:lang w:val="en-US"/>
        </w:rPr>
        <w:fldChar w:fldCharType="end"/>
      </w:r>
      <w:bookmarkEnd w:id="5"/>
      <w:r>
        <w:rPr>
          <w:lang w:val="en-US"/>
        </w:rPr>
        <w:t>); and</w:t>
      </w:r>
    </w:p>
    <w:p w14:paraId="1C3227A8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(j)</w:t>
      </w:r>
    </w:p>
    <w:p w14:paraId="4B281C84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the requirements for valves in </w:t>
      </w:r>
      <w:bookmarkStart w:id="6" w:name="DLM7311006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"http://www.legislation.govt.nz/regulation/public/2017/0131/latest/link.aspx?id=DLM7311006" \l "DLM7311006"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regulation 17.75</w:t>
      </w:r>
      <w:r>
        <w:rPr>
          <w:lang w:val="en-US"/>
        </w:rPr>
        <w:fldChar w:fldCharType="end"/>
      </w:r>
      <w:bookmarkEnd w:id="6"/>
      <w:r>
        <w:rPr>
          <w:lang w:val="en-US"/>
        </w:rPr>
        <w:t> are complied with; and</w:t>
      </w:r>
    </w:p>
    <w:p w14:paraId="5CDACE8A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(k)</w:t>
      </w:r>
    </w:p>
    <w:p w14:paraId="51327520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the records specified in </w:t>
      </w:r>
      <w:bookmarkStart w:id="7" w:name="DLM7311014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"http://www.legislation.govt.nz/regulation/public/2017/0131/latest/link.aspx?id=DLM7311014" \l "DLM7311014"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regulation 17.80</w:t>
      </w:r>
      <w:r>
        <w:rPr>
          <w:lang w:val="en-US"/>
        </w:rPr>
        <w:fldChar w:fldCharType="end"/>
      </w:r>
      <w:bookmarkEnd w:id="7"/>
      <w:r>
        <w:rPr>
          <w:lang w:val="en-US"/>
        </w:rPr>
        <w:t> are available for inspection; and</w:t>
      </w:r>
    </w:p>
    <w:p w14:paraId="17C4232C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(l)</w:t>
      </w:r>
    </w:p>
    <w:p w14:paraId="5A85FA97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any repairs and alterations carried out comply with the requirements of </w:t>
      </w:r>
      <w:bookmarkStart w:id="8" w:name="DLM7311016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"http://www.legislation.govt.nz/regulation/public/2017/0131/latest/link.aspx?id=DLM7311016" \l "DLM7311016"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subpart 16</w:t>
      </w:r>
      <w:r>
        <w:rPr>
          <w:lang w:val="en-US"/>
        </w:rPr>
        <w:fldChar w:fldCharType="end"/>
      </w:r>
      <w:bookmarkEnd w:id="8"/>
      <w:r>
        <w:rPr>
          <w:lang w:val="en-US"/>
        </w:rPr>
        <w:t>; and</w:t>
      </w:r>
    </w:p>
    <w:p w14:paraId="60EB681E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(m)</w:t>
      </w:r>
    </w:p>
    <w:p w14:paraId="42062B01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a dispenser to which </w:t>
      </w:r>
      <w:bookmarkStart w:id="9" w:name="DLM7310972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"http://www.legislation.govt.nz/regulation/public/2017/0131/latest/link.aspx?id=DLM7310972" \l "DLM7310972"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subpart 9</w:t>
      </w:r>
      <w:r>
        <w:rPr>
          <w:lang w:val="en-US"/>
        </w:rPr>
        <w:fldChar w:fldCharType="end"/>
      </w:r>
      <w:bookmarkEnd w:id="9"/>
      <w:r>
        <w:rPr>
          <w:lang w:val="en-US"/>
        </w:rPr>
        <w:t> applies complies with </w:t>
      </w:r>
      <w:bookmarkStart w:id="10" w:name="DLM7310973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"http://www.legislation.govt.nz/regulation/public/2017/0131/latest/link.aspx?id=DLM7310973" \l "DLM7310973"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regulation 17.47</w:t>
      </w:r>
      <w:r>
        <w:rPr>
          <w:lang w:val="en-US"/>
        </w:rPr>
        <w:fldChar w:fldCharType="end"/>
      </w:r>
      <w:bookmarkEnd w:id="10"/>
      <w:r>
        <w:rPr>
          <w:lang w:val="en-US"/>
        </w:rPr>
        <w:t>.</w:t>
      </w:r>
    </w:p>
    <w:p w14:paraId="01AC929E" w14:textId="77777777" w:rsidR="00B82F85" w:rsidRDefault="00B82F85" w:rsidP="00B82F85">
      <w:pPr>
        <w:rPr>
          <w:lang w:val="en-US"/>
        </w:rPr>
      </w:pPr>
      <w:r>
        <w:rPr>
          <w:lang w:val="en-US"/>
        </w:rPr>
        <w:t>(3)</w:t>
      </w:r>
    </w:p>
    <w:p w14:paraId="5481754A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A stationary container system that includes a stationary tank complies with subclause (</w:t>
      </w:r>
      <w:proofErr w:type="gramStart"/>
      <w:r>
        <w:rPr>
          <w:lang w:val="en-US"/>
        </w:rPr>
        <w:t>2)﻿</w:t>
      </w:r>
      <w:proofErr w:type="gramEnd"/>
      <w:r>
        <w:rPr>
          <w:lang w:val="en-US"/>
        </w:rPr>
        <w:t>(b)﻿(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if the tank is—</w:t>
      </w:r>
    </w:p>
    <w:p w14:paraId="057D7314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(a)</w:t>
      </w:r>
    </w:p>
    <w:p w14:paraId="38B46C8E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constructed in accordance with a design that is certified under </w:t>
      </w:r>
      <w:bookmarkStart w:id="11" w:name="DLM7311029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"http://www.legislation.govt.nz/regulation/public/2017/0131/latest/link.aspx?id=DLM7311029" \l "DLM7311029"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regulation 17.93(1)﻿(a)</w:t>
      </w:r>
      <w:r>
        <w:rPr>
          <w:lang w:val="en-US"/>
        </w:rPr>
        <w:fldChar w:fldCharType="end"/>
      </w:r>
      <w:r>
        <w:rPr>
          <w:lang w:val="en-US"/>
        </w:rPr>
        <w:t>; and</w:t>
      </w:r>
    </w:p>
    <w:p w14:paraId="7CB55674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(b)</w:t>
      </w:r>
    </w:p>
    <w:p w14:paraId="53C29C4C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marked in accordance with </w:t>
      </w:r>
      <w:bookmarkStart w:id="12" w:name="DLM7311009"/>
      <w:r>
        <w:fldChar w:fldCharType="begin"/>
      </w:r>
      <w:r>
        <w:instrText xml:space="preserve"> HYPERLINK "http://www.legislation.govt.nz/regulation/public/2017/0131/latest/link.aspx?id=DLM7311009" \l "DLM7311009" </w:instrText>
      </w:r>
      <w:r>
        <w:fldChar w:fldCharType="separate"/>
      </w:r>
      <w:r>
        <w:rPr>
          <w:rStyle w:val="Hyperlink"/>
          <w:lang w:val="en-US"/>
        </w:rPr>
        <w:t>regulation 17.76</w:t>
      </w:r>
      <w:r>
        <w:fldChar w:fldCharType="end"/>
      </w:r>
      <w:r>
        <w:rPr>
          <w:lang w:val="en-US"/>
        </w:rPr>
        <w:t>.</w:t>
      </w:r>
    </w:p>
    <w:p w14:paraId="6BF2E8B2" w14:textId="77777777" w:rsidR="00B82F85" w:rsidRDefault="00B82F85" w:rsidP="00B82F85">
      <w:pPr>
        <w:rPr>
          <w:lang w:val="en-US"/>
        </w:rPr>
      </w:pPr>
      <w:r>
        <w:rPr>
          <w:lang w:val="en-US"/>
        </w:rPr>
        <w:t>(4)</w:t>
      </w:r>
    </w:p>
    <w:p w14:paraId="60D5F3BE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A stationary container system that includes a stationary tank complies with subclause (</w:t>
      </w:r>
      <w:proofErr w:type="gramStart"/>
      <w:r>
        <w:rPr>
          <w:lang w:val="en-US"/>
        </w:rPr>
        <w:t>2)﻿</w:t>
      </w:r>
      <w:proofErr w:type="gramEnd"/>
      <w:r>
        <w:rPr>
          <w:lang w:val="en-US"/>
        </w:rPr>
        <w:t>(b)﻿(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and (ii) if the stationary tank is—</w:t>
      </w:r>
    </w:p>
    <w:p w14:paraId="0AF49C44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(a)</w:t>
      </w:r>
    </w:p>
    <w:p w14:paraId="651B80D1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lastRenderedPageBreak/>
        <w:t>constructed in accordance with a design that is certified under </w:t>
      </w:r>
      <w:hyperlink r:id="rId5" w:anchor="DLM7311029" w:history="1">
        <w:r>
          <w:rPr>
            <w:rStyle w:val="Hyperlink"/>
            <w:lang w:val="en-US"/>
          </w:rPr>
          <w:t>regulation 17.93(1)﻿(a)</w:t>
        </w:r>
      </w:hyperlink>
      <w:r>
        <w:rPr>
          <w:lang w:val="en-US"/>
        </w:rPr>
        <w:t>; and</w:t>
      </w:r>
    </w:p>
    <w:p w14:paraId="6B29C0E4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(b)</w:t>
      </w:r>
    </w:p>
    <w:p w14:paraId="3BD9EB68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constructed by a fabricator that is certified under </w:t>
      </w:r>
      <w:hyperlink r:id="rId6" w:anchor="DLM7311029" w:history="1">
        <w:r>
          <w:rPr>
            <w:rStyle w:val="Hyperlink"/>
            <w:lang w:val="en-US"/>
          </w:rPr>
          <w:t>regulation 17.93(1)﻿(b)</w:t>
        </w:r>
      </w:hyperlink>
      <w:bookmarkEnd w:id="11"/>
      <w:r>
        <w:rPr>
          <w:lang w:val="en-US"/>
        </w:rPr>
        <w:t> in respect of that design; and</w:t>
      </w:r>
    </w:p>
    <w:p w14:paraId="3228C2EF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(c)</w:t>
      </w:r>
    </w:p>
    <w:p w14:paraId="60CB0F9B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marked in accordance with </w:t>
      </w:r>
      <w:hyperlink r:id="rId7" w:anchor="DLM7311009" w:history="1">
        <w:r>
          <w:rPr>
            <w:rStyle w:val="Hyperlink"/>
            <w:lang w:val="en-US"/>
          </w:rPr>
          <w:t>regulation 17.76</w:t>
        </w:r>
      </w:hyperlink>
      <w:bookmarkEnd w:id="12"/>
      <w:r>
        <w:rPr>
          <w:lang w:val="en-US"/>
        </w:rPr>
        <w:t>.</w:t>
      </w:r>
    </w:p>
    <w:p w14:paraId="6922A3C5" w14:textId="77777777" w:rsidR="00B82F85" w:rsidRDefault="00B82F85" w:rsidP="00B82F85">
      <w:pPr>
        <w:rPr>
          <w:lang w:val="en-US"/>
        </w:rPr>
      </w:pPr>
      <w:r>
        <w:rPr>
          <w:lang w:val="en-US"/>
        </w:rPr>
        <w:t>(5)</w:t>
      </w:r>
    </w:p>
    <w:p w14:paraId="70F19D12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A stationary container system that includes a stationary tank that contains a hazardous substance for which a current certificate of inspection has been issued under the </w:t>
      </w:r>
      <w:bookmarkStart w:id="13" w:name="DLM284451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"http://www.legislation.govt.nz/regulation/public/2017/0131/latest/link.aspx?id=DLM284451"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Health and Safety in Employment (Pressure Equipment, Cranes, and Passenger Ropeways) Regulations 1999</w:t>
      </w:r>
      <w:r>
        <w:rPr>
          <w:lang w:val="en-US"/>
        </w:rPr>
        <w:fldChar w:fldCharType="end"/>
      </w:r>
      <w:r>
        <w:rPr>
          <w:lang w:val="en-US"/>
        </w:rPr>
        <w:t> complies with—</w:t>
      </w:r>
    </w:p>
    <w:p w14:paraId="0023B9F3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(a)</w:t>
      </w:r>
    </w:p>
    <w:p w14:paraId="75A13CDF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subclause (</w:t>
      </w:r>
      <w:proofErr w:type="gramStart"/>
      <w:r>
        <w:rPr>
          <w:lang w:val="en-US"/>
        </w:rPr>
        <w:t>2)﻿</w:t>
      </w:r>
      <w:proofErr w:type="gramEnd"/>
      <w:r>
        <w:rPr>
          <w:lang w:val="en-US"/>
        </w:rPr>
        <w:t>(a); and</w:t>
      </w:r>
    </w:p>
    <w:p w14:paraId="45A92D8D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(b)</w:t>
      </w:r>
    </w:p>
    <w:p w14:paraId="064549BA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subclause (</w:t>
      </w:r>
      <w:proofErr w:type="gramStart"/>
      <w:r>
        <w:rPr>
          <w:lang w:val="en-US"/>
        </w:rPr>
        <w:t>2)﻿</w:t>
      </w:r>
      <w:proofErr w:type="gramEnd"/>
      <w:r>
        <w:rPr>
          <w:lang w:val="en-US"/>
        </w:rPr>
        <w:t>(b)﻿(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to (v); and</w:t>
      </w:r>
    </w:p>
    <w:p w14:paraId="2B2A0D55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(c)</w:t>
      </w:r>
    </w:p>
    <w:p w14:paraId="074E4887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subclause (</w:t>
      </w:r>
      <w:proofErr w:type="gramStart"/>
      <w:r>
        <w:rPr>
          <w:lang w:val="en-US"/>
        </w:rPr>
        <w:t>2)﻿</w:t>
      </w:r>
      <w:proofErr w:type="gramEnd"/>
      <w:r>
        <w:rPr>
          <w:lang w:val="en-US"/>
        </w:rPr>
        <w:t>(l).</w:t>
      </w:r>
    </w:p>
    <w:p w14:paraId="614123EE" w14:textId="77777777" w:rsidR="00B82F85" w:rsidRDefault="00B82F85" w:rsidP="00B82F85">
      <w:pPr>
        <w:rPr>
          <w:lang w:val="en-US"/>
        </w:rPr>
      </w:pPr>
      <w:r>
        <w:rPr>
          <w:lang w:val="en-US"/>
        </w:rPr>
        <w:t>(6)</w:t>
      </w:r>
    </w:p>
    <w:p w14:paraId="1B0C46D7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Pipework forming part of a stationary container system that contains a hazardous substance for which a current certificate of inspection has been issued in accordance with the </w:t>
      </w:r>
      <w:hyperlink r:id="rId8" w:history="1">
        <w:r>
          <w:rPr>
            <w:rStyle w:val="Hyperlink"/>
            <w:lang w:val="en-US"/>
          </w:rPr>
          <w:t>Health and Safety in Employment (Pressure Equipment, Cranes, and Passenger Ropeways) Regulations 1999</w:t>
        </w:r>
      </w:hyperlink>
      <w:bookmarkEnd w:id="13"/>
      <w:r>
        <w:rPr>
          <w:lang w:val="en-US"/>
        </w:rPr>
        <w:t> or the </w:t>
      </w:r>
      <w:bookmarkStart w:id="14" w:name="DLM298847"/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"http://www.legislation.govt.nz/regulation/public/2017/0131/latest/link.aspx?id=DLM298847" </w:instrText>
      </w:r>
      <w:r>
        <w:rPr>
          <w:lang w:val="en-US"/>
        </w:rPr>
        <w:fldChar w:fldCharType="separate"/>
      </w:r>
      <w:r>
        <w:rPr>
          <w:rStyle w:val="Hyperlink"/>
          <w:lang w:val="en-US"/>
        </w:rPr>
        <w:t>Health and Safety in Employment (Pipelines) Regulations 1999</w:t>
      </w:r>
      <w:r>
        <w:rPr>
          <w:lang w:val="en-US"/>
        </w:rPr>
        <w:fldChar w:fldCharType="end"/>
      </w:r>
      <w:bookmarkEnd w:id="14"/>
      <w:r>
        <w:rPr>
          <w:lang w:val="en-US"/>
        </w:rPr>
        <w:t> complies with—</w:t>
      </w:r>
    </w:p>
    <w:p w14:paraId="410676BB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(a)</w:t>
      </w:r>
    </w:p>
    <w:p w14:paraId="3005A87F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subclause (</w:t>
      </w:r>
      <w:proofErr w:type="gramStart"/>
      <w:r>
        <w:rPr>
          <w:lang w:val="en-US"/>
        </w:rPr>
        <w:t>2)﻿</w:t>
      </w:r>
      <w:proofErr w:type="gramEnd"/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)﻿(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and (ii); and</w:t>
      </w:r>
    </w:p>
    <w:p w14:paraId="641DCB54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(b)</w:t>
      </w:r>
    </w:p>
    <w:p w14:paraId="660E4262" w14:textId="77777777" w:rsidR="00B82F85" w:rsidRDefault="00B82F85" w:rsidP="00B82F85">
      <w:pPr>
        <w:ind w:left="720"/>
        <w:rPr>
          <w:lang w:val="en-US"/>
        </w:rPr>
      </w:pPr>
      <w:r>
        <w:rPr>
          <w:lang w:val="en-US"/>
        </w:rPr>
        <w:t>subclause (</w:t>
      </w:r>
      <w:proofErr w:type="gramStart"/>
      <w:r>
        <w:rPr>
          <w:lang w:val="en-US"/>
        </w:rPr>
        <w:t>2)﻿</w:t>
      </w:r>
      <w:proofErr w:type="gramEnd"/>
      <w:r>
        <w:rPr>
          <w:lang w:val="en-US"/>
        </w:rPr>
        <w:t>(l).</w:t>
      </w:r>
    </w:p>
    <w:p w14:paraId="4C15A6E2" w14:textId="77777777" w:rsidR="00B82F85" w:rsidRDefault="00B82F85" w:rsidP="00B82F85">
      <w:pPr>
        <w:rPr>
          <w:lang w:val="en-US"/>
        </w:rPr>
      </w:pPr>
      <w:r>
        <w:rPr>
          <w:lang w:val="en-US"/>
        </w:rPr>
        <w:t> </w:t>
      </w:r>
    </w:p>
    <w:p w14:paraId="75AFFA8C" w14:textId="77777777" w:rsidR="00B82F85" w:rsidRDefault="00B82F85" w:rsidP="00B82F85">
      <w:pPr>
        <w:rPr>
          <w:lang w:val="en-US"/>
        </w:rPr>
      </w:pPr>
      <w:r>
        <w:rPr>
          <w:lang w:val="en-US"/>
        </w:rPr>
        <w:t>Hope this helps.</w:t>
      </w:r>
    </w:p>
    <w:p w14:paraId="7B2BD3E0" w14:textId="77777777" w:rsidR="00B82F85" w:rsidRDefault="00B82F85" w:rsidP="00B82F85">
      <w:pPr>
        <w:rPr>
          <w:lang w:val="en-US"/>
        </w:rPr>
      </w:pPr>
      <w:r>
        <w:rPr>
          <w:lang w:val="en-US"/>
        </w:rPr>
        <w:t> </w:t>
      </w:r>
    </w:p>
    <w:p w14:paraId="5B6C44DD" w14:textId="77777777" w:rsidR="00B82F85" w:rsidRDefault="00B82F85" w:rsidP="00B82F85">
      <w:pPr>
        <w:rPr>
          <w:lang w:val="en-US"/>
        </w:rPr>
      </w:pPr>
      <w:r>
        <w:rPr>
          <w:lang w:val="en-US"/>
        </w:rPr>
        <w:t> </w:t>
      </w:r>
    </w:p>
    <w:p w14:paraId="639AC24D" w14:textId="77777777" w:rsidR="00B82F85" w:rsidRDefault="00B82F85" w:rsidP="00B82F85">
      <w:pPr>
        <w:rPr>
          <w:lang w:val="en-US"/>
        </w:rPr>
      </w:pPr>
      <w:r>
        <w:rPr>
          <w:rFonts w:ascii="Arial" w:hAnsi="Arial" w:cs="Arial"/>
          <w:sz w:val="20"/>
          <w:szCs w:val="20"/>
          <w:lang w:val="en-GB" w:eastAsia="en-GB"/>
        </w:rPr>
        <w:t>regards</w:t>
      </w:r>
    </w:p>
    <w:p w14:paraId="431CF304" w14:textId="77777777" w:rsidR="00B03A97" w:rsidRDefault="00B03A97">
      <w:bookmarkStart w:id="15" w:name="_GoBack"/>
      <w:bookmarkEnd w:id="15"/>
    </w:p>
    <w:sectPr w:rsidR="00B0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F41C7"/>
    <w:multiLevelType w:val="hybridMultilevel"/>
    <w:tmpl w:val="F10A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85"/>
    <w:rsid w:val="00B03A97"/>
    <w:rsid w:val="00B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945B"/>
  <w15:chartTrackingRefBased/>
  <w15:docId w15:val="{01037544-769F-41BD-96BE-DDD9BCF2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85"/>
    <w:pPr>
      <w:spacing w:before="0"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F8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82F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regulation/public/2017/0131/latest/link.aspx?id=DLM284451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t.nz/regulation/public/2017/0131/latest/link.aspx?id=DLM73110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t.nz/regulation/public/2017/0131/latest/link.aspx?id=DLM7311029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legislation.govt.nz/regulation/public/2017/0131/latest/link.aspx?id=DLM73110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A0E707FBFE94889FADBB8D71883BB" ma:contentTypeVersion="12" ma:contentTypeDescription="Create a new document." ma:contentTypeScope="" ma:versionID="0e1e941fcccbf8c1aec09e244b5cf6be">
  <xsd:schema xmlns:xsd="http://www.w3.org/2001/XMLSchema" xmlns:xs="http://www.w3.org/2001/XMLSchema" xmlns:p="http://schemas.microsoft.com/office/2006/metadata/properties" xmlns:ns2="86a48149-2eac-4135-8e01-ecf0296bbb57" xmlns:ns3="e519e0c6-04d5-4318-9ed2-d3776b79ebf7" targetNamespace="http://schemas.microsoft.com/office/2006/metadata/properties" ma:root="true" ma:fieldsID="2714969afff4258f27ab8bd83b1824b6" ns2:_="" ns3:_="">
    <xsd:import namespace="86a48149-2eac-4135-8e01-ecf0296bbb57"/>
    <xsd:import namespace="e519e0c6-04d5-4318-9ed2-d3776b79e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8149-2eac-4135-8e01-ecf0296b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e0c6-04d5-4318-9ed2-d3776b79e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7D207-0624-4E54-A305-1E484A831F4C}"/>
</file>

<file path=customXml/itemProps2.xml><?xml version="1.0" encoding="utf-8"?>
<ds:datastoreItem xmlns:ds="http://schemas.openxmlformats.org/officeDocument/2006/customXml" ds:itemID="{D781F47C-3FE5-4617-99A2-E47DF2388F5C}"/>
</file>

<file path=customXml/itemProps3.xml><?xml version="1.0" encoding="utf-8"?>
<ds:datastoreItem xmlns:ds="http://schemas.openxmlformats.org/officeDocument/2006/customXml" ds:itemID="{49F15A56-CE01-4AF0-934A-364AB9A1B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Emmerson</dc:creator>
  <cp:keywords/>
  <dc:description/>
  <cp:lastModifiedBy>Thomas Emmerson</cp:lastModifiedBy>
  <cp:revision>1</cp:revision>
  <dcterms:created xsi:type="dcterms:W3CDTF">2020-12-08T20:15:00Z</dcterms:created>
  <dcterms:modified xsi:type="dcterms:W3CDTF">2020-12-08T20:16:00Z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0x0101004ABA0E707FBFE94889FADBB8D71883BB</vt:lpwstr>
  </property>
</Properties>
</file>